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000"/>
        <w:gridCol w:w="5971"/>
      </w:tblGrid>
      <w:tr>
        <w:trPr>
          <w:trHeight w:val="31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216" w:type="dxa"/>
        <w:tblLayout w:type="fixed"/>
        <w:tblCellMar>
          <w:top w:w="80" w:type="dxa"/>
          <w:left w:w="80" w:type="dxa"/>
          <w:bottom w:w="80" w:type="dxa"/>
          <w:right w:w="80" w:type="dxa"/>
        </w:tblCellMar>
      </w:tblPr>
      <w:tblGrid>
        <w:gridCol w:w="3705"/>
        <w:gridCol w:w="2715"/>
        <w:gridCol w:w="3207"/>
      </w:tblGrid>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216"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26"/>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ListParagraph"/>
        <w:tabs>
          <w:tab w:val="clear" w:pos="720"/>
          <w:tab w:val="left" w:pos="540" w:leader="none"/>
          <w:tab w:val="left" w:pos="567" w:leader="none"/>
        </w:tabs>
        <w:ind w:left="567" w:right="0" w:hanging="0"/>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Risultati di apprendimento comuni a tutti gli indirizzi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ind w:left="720" w:right="0" w:hanging="0"/>
        <w:jc w:val="both"/>
        <w:rPr>
          <w:rStyle w:val="Markedcontent"/>
          <w:color w:val="000000"/>
          <w:u w:val="none" w:color="000000"/>
        </w:rPr>
      </w:pPr>
      <w:r>
        <w:rPr>
          <w:color w:val="000000"/>
          <w:u w:val="none" w:color="000000"/>
        </w:rPr>
      </w:r>
    </w:p>
    <w:p>
      <w:pPr>
        <w:pStyle w:val="ListParagraph"/>
        <w:numPr>
          <w:ilvl w:val="0"/>
          <w:numId w:val="27"/>
        </w:numPr>
        <w:bidi w:val="0"/>
        <w:ind w:left="720" w:right="0" w:hanging="360"/>
        <w:jc w:val="both"/>
        <w:rPr>
          <w:rStyle w:val="Markedcontent"/>
          <w:b/>
          <w:b/>
          <w:bCs/>
          <w:lang w:val="it-IT"/>
        </w:rPr>
      </w:pPr>
      <w:r>
        <w:rPr>
          <w:rStyle w:val="Markedcontent"/>
          <w:b/>
          <w:bCs/>
          <w:lang w:val="it-IT"/>
        </w:rPr>
        <w:t>Risultati di apprendimento dei percorsi del settore tecnologico</w:t>
      </w:r>
    </w:p>
    <w:p>
      <w:pPr>
        <w:pStyle w:val="Normal"/>
        <w:numPr>
          <w:ilvl w:val="0"/>
          <w:numId w:val="6"/>
        </w:numPr>
        <w:spacing w:before="0" w:after="0"/>
        <w:ind w:left="720" w:right="0" w:hanging="360"/>
        <w:jc w:val="both"/>
        <w:rPr>
          <w:lang w:val="it-IT"/>
        </w:rPr>
      </w:pPr>
      <w:r>
        <w:rPr>
          <w:lang w:val="it-IT"/>
        </w:rPr>
        <w:t>individuare le interdipendenze tra scienza, economia e tecnologia e le conseguenti modificazioni intervenute, nel corso della storia, nei settori di riferimento e nei diversi contesti, locali e globali;</w:t>
      </w:r>
    </w:p>
    <w:p>
      <w:pPr>
        <w:pStyle w:val="Normal"/>
        <w:numPr>
          <w:ilvl w:val="0"/>
          <w:numId w:val="6"/>
        </w:numPr>
        <w:spacing w:before="0" w:after="0"/>
        <w:ind w:left="720" w:right="0" w:hanging="360"/>
        <w:jc w:val="both"/>
        <w:rPr>
          <w:lang w:val="it-IT"/>
        </w:rPr>
      </w:pPr>
      <w:r>
        <w:rPr>
          <w:lang w:val="it-IT"/>
        </w:rPr>
        <w:t>orientarsi nelle dinamiche dello sviluppo scientifico e tecnologico, anche con l’utilizzo di appropriate tecniche di indagine;</w:t>
      </w:r>
    </w:p>
    <w:p>
      <w:pPr>
        <w:pStyle w:val="Normal"/>
        <w:numPr>
          <w:ilvl w:val="0"/>
          <w:numId w:val="6"/>
        </w:numPr>
        <w:spacing w:before="0" w:after="0"/>
        <w:ind w:left="720" w:right="0" w:hanging="360"/>
        <w:jc w:val="both"/>
        <w:rPr>
          <w:lang w:val="it-IT"/>
        </w:rPr>
      </w:pPr>
      <w:r>
        <w:rPr>
          <w:lang w:val="it-IT"/>
        </w:rPr>
        <w:t>utilizzare le tecnologie specifiche dei vari indirizzi;</w:t>
      </w:r>
    </w:p>
    <w:p>
      <w:pPr>
        <w:pStyle w:val="Normal"/>
        <w:numPr>
          <w:ilvl w:val="0"/>
          <w:numId w:val="6"/>
        </w:numPr>
        <w:spacing w:before="0" w:after="0"/>
        <w:ind w:left="720" w:right="0" w:hanging="360"/>
        <w:jc w:val="both"/>
        <w:rPr>
          <w:lang w:val="it-IT"/>
        </w:rPr>
      </w:pPr>
      <w:r>
        <w:rPr>
          <w:lang w:val="it-IT"/>
        </w:rPr>
        <w:t>orientarsi nella normativa che disciplina i processi produttivi del settore di riferimento, con particolare attenzione sia alla sicurezza sui luoghi di vita e di lavoro sia alla tutela dell’ambiente e del territorio;</w:t>
      </w:r>
    </w:p>
    <w:p>
      <w:pPr>
        <w:pStyle w:val="Normal"/>
        <w:numPr>
          <w:ilvl w:val="0"/>
          <w:numId w:val="6"/>
        </w:numPr>
        <w:spacing w:before="0" w:after="0"/>
        <w:ind w:left="720" w:right="0" w:hanging="360"/>
        <w:jc w:val="both"/>
        <w:rPr>
          <w:lang w:val="it-IT"/>
        </w:rPr>
      </w:pPr>
      <w:r>
        <w:rPr>
          <w:lang w:val="it-IT"/>
        </w:rPr>
        <w:t>intervenire nelle diverse fasi e livelli del processo produttivo, dall’ideazione alla realizzazione del prodotto, per la parte di propria competenza, utilizzando gli strumenti di progettazione, documentazione e controllo;</w:t>
      </w:r>
    </w:p>
    <w:p>
      <w:pPr>
        <w:pStyle w:val="Normal"/>
        <w:numPr>
          <w:ilvl w:val="0"/>
          <w:numId w:val="6"/>
        </w:numPr>
        <w:spacing w:before="0" w:after="0"/>
        <w:ind w:left="720" w:right="0" w:hanging="360"/>
        <w:jc w:val="both"/>
        <w:rPr>
          <w:lang w:val="it-IT"/>
        </w:rPr>
      </w:pPr>
      <w:r>
        <w:rPr>
          <w:lang w:val="it-IT"/>
        </w:rPr>
        <w:t>riconoscere e applicare i principi dell’organizzazione, della gestione e del controllo dei diversi processi produttivi;</w:t>
      </w:r>
    </w:p>
    <w:p>
      <w:pPr>
        <w:pStyle w:val="Normal"/>
        <w:numPr>
          <w:ilvl w:val="0"/>
          <w:numId w:val="6"/>
        </w:numPr>
        <w:spacing w:before="0" w:after="0"/>
        <w:ind w:left="720" w:right="0" w:hanging="360"/>
        <w:jc w:val="both"/>
        <w:rPr>
          <w:lang w:val="it-IT"/>
        </w:rPr>
      </w:pPr>
      <w:r>
        <w:rPr>
          <w:lang w:val="it-IT"/>
        </w:rPr>
        <w:t>analizzare criticamente il contributo apportato dalla scienza e dalla tecnologia allo sviluppo dei saperi e al cambiamento delle condizioni di vita;</w:t>
      </w:r>
    </w:p>
    <w:p>
      <w:pPr>
        <w:pStyle w:val="Normal"/>
        <w:numPr>
          <w:ilvl w:val="0"/>
          <w:numId w:val="6"/>
        </w:numPr>
        <w:spacing w:before="0" w:after="0"/>
        <w:ind w:left="720" w:right="0" w:hanging="360"/>
        <w:jc w:val="both"/>
        <w:rPr>
          <w:lang w:val="it-IT"/>
        </w:rPr>
      </w:pPr>
      <w:r>
        <w:rPr>
          <w:lang w:val="it-IT"/>
        </w:rPr>
        <w:t>riconoscere le implicazioni etiche, sociali, scientifiche, produttive, economiche e ambientali dell’innovazione tecnologica e delle sue applicazioni industriali;</w:t>
      </w:r>
    </w:p>
    <w:p>
      <w:pPr>
        <w:pStyle w:val="Normal"/>
        <w:numPr>
          <w:ilvl w:val="0"/>
          <w:numId w:val="6"/>
        </w:numPr>
        <w:spacing w:before="0" w:after="0"/>
        <w:ind w:left="720" w:right="0" w:hanging="360"/>
        <w:jc w:val="both"/>
        <w:rPr>
          <w:lang w:val="it-IT"/>
        </w:rPr>
      </w:pPr>
      <w:r>
        <w:rPr>
          <w:lang w:val="it-IT"/>
        </w:rPr>
        <w:t>riconoscere gli aspetti di efficacia, efficienza e qualità nella propria attività lavorativa.</w:t>
      </w:r>
    </w:p>
    <w:p>
      <w:pPr>
        <w:pStyle w:val="Normal"/>
        <w:jc w:val="both"/>
        <w:rPr>
          <w:b/>
          <w:b/>
          <w:bCs/>
        </w:rPr>
      </w:pPr>
      <w:r>
        <w:rPr>
          <w:b/>
          <w:bCs/>
        </w:rPr>
      </w:r>
    </w:p>
    <w:p>
      <w:pPr>
        <w:pStyle w:val="ListParagraph"/>
        <w:numPr>
          <w:ilvl w:val="0"/>
          <w:numId w:val="28"/>
        </w:numPr>
        <w:bidi w:val="0"/>
        <w:ind w:left="426" w:right="0" w:hanging="360"/>
        <w:jc w:val="both"/>
        <w:rPr>
          <w:rStyle w:val="Markedcontent"/>
          <w:b/>
          <w:b/>
          <w:bCs/>
          <w:lang w:val="it-IT"/>
        </w:rPr>
      </w:pPr>
      <w:r>
        <w:rPr>
          <w:rStyle w:val="Markedcontent"/>
          <w:b/>
          <w:bCs/>
          <w:lang w:val="it-IT"/>
        </w:rPr>
        <w:t>Competenze specifiche indirizzo Costruzioni, Ambiente e Territorio</w:t>
      </w:r>
    </w:p>
    <w:p>
      <w:pPr>
        <w:pStyle w:val="Normal"/>
        <w:numPr>
          <w:ilvl w:val="0"/>
          <w:numId w:val="8"/>
        </w:numPr>
        <w:ind w:left="720" w:right="0" w:hanging="360"/>
        <w:jc w:val="both"/>
        <w:rPr>
          <w:rStyle w:val="Markedcontent"/>
          <w:color w:val="000000"/>
          <w:u w:val="none" w:color="000000"/>
          <w:lang w:val="it-IT"/>
        </w:rPr>
      </w:pPr>
      <w:r>
        <w:rPr>
          <w:rStyle w:val="Markedcontent"/>
          <w:color w:val="000000"/>
          <w:u w:val="none" w:color="000000"/>
          <w:lang w:val="it-IT"/>
        </w:rPr>
        <w:t>Selezionare i materiali da costruzione in rapporto al loro impiego e alle modalità di lavorazione;</w:t>
      </w:r>
    </w:p>
    <w:p>
      <w:pPr>
        <w:pStyle w:val="Normal"/>
        <w:numPr>
          <w:ilvl w:val="0"/>
          <w:numId w:val="29"/>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Rilevare il territorio, le aree libere e i manufatti, scegliendo le metodologie e le strumentazioni più adeguate ed elaborare i dati ottenuti;</w:t>
      </w:r>
    </w:p>
    <w:p>
      <w:pPr>
        <w:pStyle w:val="Normal"/>
        <w:numPr>
          <w:ilvl w:val="0"/>
          <w:numId w:val="30"/>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Applicare le metodologie della progettazione, valutazione e realizzazione di costruzioni e manufatti di modeste entità, in zone non sismiche, intervenendo anche nelle problematiche connesse al risparmio energetico nell’edilizia;</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idonei per la restituzione grafica di progetti e di rilievi;</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Tutelare, salvaguardare e valorizzare le risorse del territorio e dell’ambiente;</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Compiere operazioni di estimo in ambito privato e pubblico, limitatamente all’edilizia e al territorio;</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Gestire la manutenzione ordinaria e l’esercizio di organismi edilizi;</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Organizzare e condurre i cantieri mobili nel rispetto delle normative sulla sicurezza.</w:t>
      </w:r>
    </w:p>
    <w:p>
      <w:pPr>
        <w:pStyle w:val="Normal"/>
        <w:tabs>
          <w:tab w:val="clear" w:pos="720"/>
          <w:tab w:val="left" w:pos="709" w:leader="none"/>
        </w:tabs>
        <w:ind w:left="720" w:right="0" w:hanging="0"/>
        <w:jc w:val="both"/>
        <w:rPr>
          <w:rStyle w:val="Markedcontent"/>
          <w:color w:val="000000"/>
          <w:u w:val="none" w:color="000000"/>
        </w:rPr>
      </w:pPr>
      <w:r>
        <w:rPr>
          <w:color w:val="000000"/>
          <w:u w:val="none" w:color="000000"/>
        </w:rPr>
      </w:r>
    </w:p>
    <w:p>
      <w:pPr>
        <w:pStyle w:val="NoSpacing"/>
        <w:rPr/>
      </w:pPr>
      <w:r>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1947"/>
        <w:gridCol w:w="8014"/>
      </w:tblGrid>
      <w:tr>
        <w:trPr>
          <w:trHeight w:val="41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8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4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216" w:type="dxa"/>
        <w:tblLayout w:type="fixed"/>
        <w:tblCellMar>
          <w:top w:w="80" w:type="dxa"/>
          <w:left w:w="80" w:type="dxa"/>
          <w:bottom w:w="80" w:type="dxa"/>
          <w:right w:w="81" w:type="dxa"/>
        </w:tblCellMar>
      </w:tblPr>
      <w:tblGrid>
        <w:gridCol w:w="2468"/>
        <w:gridCol w:w="6945"/>
      </w:tblGrid>
      <w:tr>
        <w:trPr>
          <w:trHeight w:val="31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8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7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3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jc w:val="both"/>
        <w:rPr>
          <w:rStyle w:val="Markedcontent"/>
          <w:color w:val="000000"/>
          <w:u w:val="single" w:color="000000"/>
        </w:rPr>
      </w:pPr>
      <w:r>
        <w:rPr>
          <w:color w:val="000000"/>
          <w:u w:val="single" w:color="000000"/>
        </w:rPr>
      </w:r>
    </w:p>
    <w:p>
      <w:pPr>
        <w:pStyle w:val="ListParagraph"/>
        <w:numPr>
          <w:ilvl w:val="0"/>
          <w:numId w:val="31"/>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3320"/>
        <w:gridCol w:w="3321"/>
        <w:gridCol w:w="3321"/>
      </w:tblGrid>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Spacing"/>
        <w:rPr>
          <w:rStyle w:val="Markedcontent"/>
          <w:b/>
          <w:b/>
          <w:bCs/>
          <w:color w:val="000000"/>
          <w:u w:val="none" w:color="000000"/>
        </w:rPr>
      </w:pPr>
      <w:r>
        <w:rPr>
          <w:b/>
          <w:bCs/>
          <w:color w:val="000000"/>
          <w:u w:val="none" w:color="000000"/>
        </w:rPr>
      </w:r>
    </w:p>
    <w:p>
      <w:pPr>
        <w:pStyle w:val="NoSpacing"/>
        <w:numPr>
          <w:ilvl w:val="0"/>
          <w:numId w:val="32"/>
        </w:numPr>
        <w:bidi w:val="0"/>
        <w:ind w:left="567" w:right="0" w:hanging="540"/>
        <w:jc w:val="left"/>
        <w:rPr>
          <w:rStyle w:val="Markedcontent"/>
          <w:b/>
          <w:b/>
          <w:bCs/>
        </w:rPr>
      </w:pPr>
      <w:bookmarkStart w:id="2" w:name="_gjdgxs1"/>
      <w:r>
        <w:rPr>
          <w:rStyle w:val="Markedcontent"/>
          <w:b/>
          <w:bCs/>
          <w:lang w:val="it-IT"/>
        </w:rPr>
        <w:t xml:space="preserve">METODOLOGIE E STRATEGIE DIDATTICHE </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4"/>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4"/>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4"/>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4"/>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End w:id="3"/>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5"/>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6"/>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5"/>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17"/>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17"/>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17"/>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33"/>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4"/>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0"/>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0"/>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0"/>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5"/>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2"/>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Spacing"/>
        <w:rPr/>
      </w:pPr>
      <w:r>
        <w:rPr/>
      </w:r>
    </w:p>
    <w:p>
      <w:pPr>
        <w:pStyle w:val="ListParagraph"/>
        <w:keepNext w:val="true"/>
        <w:keepLines/>
        <w:numPr>
          <w:ilvl w:val="0"/>
          <w:numId w:val="36"/>
        </w:numPr>
        <w:bidi w:val="0"/>
        <w:ind w:left="567" w:right="3" w:hanging="54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4"/>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curricolare: Ogni qualvolta sarà necessario, i docenti procederanno all’attivazione del recupero di conoscenze e competenze in orario curricolare. Il recupero avverrà anche attraverso una pausa didattica a conclusione del primo quadrimestre.</w:t>
      </w:r>
    </w:p>
    <w:p>
      <w:pPr>
        <w:pStyle w:val="Normal"/>
        <w:numPr>
          <w:ilvl w:val="0"/>
          <w:numId w:val="24"/>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4"/>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Normal"/>
        <w:ind w:left="79" w:right="0" w:hanging="0"/>
        <w:rPr>
          <w:rStyle w:val="Markedcontent"/>
          <w:b/>
          <w:b/>
          <w:bCs/>
          <w:color w:val="000000"/>
          <w:u w:val="none" w:color="000000"/>
        </w:rPr>
      </w:pPr>
      <w:r>
        <w:rPr>
          <w:rStyle w:val="Markedcontent"/>
          <w:b/>
          <w:bCs/>
          <w:color w:val="000000"/>
          <w:u w:val="none" w:color="000000"/>
          <w:lang w:val="it-IT"/>
        </w:rPr>
        <w:t>9</w:t>
      </w:r>
      <w:r>
        <w:rPr>
          <w:rStyle w:val="Markedcontent"/>
          <w:color w:val="000000"/>
          <w:u w:val="none" w:color="000000"/>
          <w:lang w:val="it-IT"/>
        </w:rPr>
        <w:t xml:space="preserve">.  </w:t>
        <w:tab/>
      </w: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216" w:type="dxa"/>
        <w:tblLayout w:type="fixed"/>
        <w:tblCellMar>
          <w:top w:w="80" w:type="dxa"/>
          <w:left w:w="167" w:type="dxa"/>
          <w:bottom w:w="80" w:type="dxa"/>
          <w:right w:w="83" w:type="dxa"/>
        </w:tblCellMar>
      </w:tblPr>
      <w:tblGrid>
        <w:gridCol w:w="5626"/>
        <w:gridCol w:w="3540"/>
      </w:tblGrid>
      <w:tr>
        <w:trPr>
          <w:trHeight w:val="31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4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lang w:val="it-IT"/>
              </w:rPr>
            </w:pPr>
            <w:r>
              <w:rPr>
                <w:lang w:val="it-IT"/>
              </w:rPr>
            </w:r>
          </w:p>
          <w:p>
            <w:pPr>
              <w:pStyle w:val="Normal"/>
              <w:widowControl w:val="false"/>
              <w:spacing w:lineRule="auto" w:line="249" w:before="0" w:after="166"/>
              <w:ind w:left="87" w:right="3" w:hanging="10"/>
              <w:jc w:val="both"/>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216" w:type="dxa"/>
        <w:tblLayout w:type="fixed"/>
        <w:tblCellMar>
          <w:top w:w="80" w:type="dxa"/>
          <w:left w:w="80" w:type="dxa"/>
          <w:bottom w:w="80" w:type="dxa"/>
          <w:right w:w="80" w:type="dxa"/>
        </w:tblCellMar>
      </w:tblPr>
      <w:tblGrid>
        <w:gridCol w:w="4981"/>
        <w:gridCol w:w="4980"/>
      </w:tblGrid>
      <w:tr>
        <w:trPr>
          <w:trHeight w:val="25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lowerLetter"/>
      <w:lvlText w:val="%1)"/>
      <w:lvlJc w:val="left"/>
      <w:pPr>
        <w:tabs>
          <w:tab w:val="num" w:pos="0"/>
        </w:tabs>
        <w:ind w:left="7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21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3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4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6">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7">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8">
    <w:lvl w:ilvl="0">
      <w:start w:val="1"/>
      <w:numFmt w:val="decimal"/>
      <w:lvlText w:val="%1."/>
      <w:lvlJc w:val="left"/>
      <w:pPr>
        <w:tabs>
          <w:tab w:val="num" w:pos="709"/>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1069"/>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1789"/>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2509"/>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3229"/>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3949"/>
        </w:tabs>
        <w:ind w:left="396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4669"/>
        </w:tabs>
        <w:ind w:left="46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5389"/>
        </w:tabs>
        <w:ind w:left="540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6109"/>
        </w:tabs>
        <w:ind w:left="612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9">
    <w:lvl w:ilvl="0">
      <w:start w:val="1"/>
      <w:numFmt w:val="decimal"/>
      <w:lvlText w:val="%1."/>
      <w:lvlJc w:val="left"/>
      <w:pPr>
        <w:tabs>
          <w:tab w:val="num" w:pos="709"/>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1069"/>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1789"/>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2509"/>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3229"/>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3949"/>
        </w:tabs>
        <w:ind w:left="396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4669"/>
        </w:tabs>
        <w:ind w:left="46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5389"/>
        </w:tabs>
        <w:ind w:left="540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6109"/>
        </w:tabs>
        <w:ind w:left="612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3">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4">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7">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5"/>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9">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0">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7"/>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2">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3">
    <w:lvl w:ilvl="0">
      <w:start w:val="8"/>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4">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1"/>
    <w:lvlOverride w:ilvl="0">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num>
  <w:num w:numId="27">
    <w:abstractNumId w:val="5"/>
    <w:lvlOverride w:ilvl="0">
      <w:startOverride w:val="2"/>
    </w:lvlOverride>
  </w:num>
  <w:num w:numId="28">
    <w:abstractNumId w:val="7"/>
    <w:lvlOverride w:ilvl="0">
      <w:startOverride w:val="3"/>
    </w:lvlOverride>
  </w:num>
  <w:num w:numId="29">
    <w:abstractNumId w:val="8"/>
  </w:num>
  <w:num w:numId="30">
    <w:abstractNumId w:val="8"/>
  </w:num>
  <w:num w:numId="31">
    <w:abstractNumId w:val="1"/>
    <w:lvlOverride w:ilvl="0">
      <w:startOverride w:val="3"/>
    </w:lvlOverride>
  </w:num>
  <w:num w:numId="32">
    <w:abstractNumId w:val="1"/>
    <w:lvlOverride w:ilvl="0">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3">
    <w:abstractNumId w:val="1"/>
    <w:lvlOverride w:ilvl="0">
      <w:lvl w:ilvl="0">
        <w:start w:val="5"/>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5"/>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4">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5">
    <w:abstractNumId w:val="1"/>
    <w:lvlOverride w:ilvl="0">
      <w:lvl w:ilvl="0">
        <w:start w:val="7"/>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7"/>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6">
    <w:abstractNumId w:val="1"/>
    <w:lvlOverride w:ilvl="0">
      <w:lvl w:ilvl="0">
        <w:start w:val="8"/>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numbering" w:styleId="Stileimportato9">
    <w:name w:val="Stile importato 9"/>
    <w:qFormat/>
  </w:style>
  <w:style w:type="numbering" w:styleId="Stileimportato11">
    <w:name w:val="Stile importato 11"/>
    <w:qFormat/>
  </w:style>
  <w:style w:type="numbering" w:styleId="Stileimportato12">
    <w:name w:val="Stile importato 12"/>
    <w:qFormat/>
  </w:style>
  <w:style w:type="numbering" w:styleId="Stileimportato13">
    <w:name w:val="Stile importato 13"/>
    <w:qFormat/>
  </w:style>
  <w:style w:type="numbering" w:styleId="Stileimportato14">
    <w:name w:val="Stile importato 14"/>
    <w:qFormat/>
  </w:style>
  <w:style w:type="numbering" w:styleId="Stileimportato15">
    <w:name w:val="Stile importato 15"/>
    <w:qFormat/>
  </w:style>
  <w:style w:type="numbering" w:styleId="Stileimportato16">
    <w:name w:val="Stile importato 16"/>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13</Pages>
  <Words>3506</Words>
  <Characters>22040</Characters>
  <CharactersWithSpaces>25221</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2023-11-06T12:26:42Z</dcterms:modified>
  <cp:revision>1</cp:revision>
  <dc:subject/>
  <dc:title/>
</cp:coreProperties>
</file>