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000"/>
        <w:gridCol w:w="5971"/>
      </w:tblGrid>
      <w:tr>
        <w:trPr>
          <w:trHeight w:val="31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216" w:type="dxa"/>
        <w:tblLayout w:type="fixed"/>
        <w:tblCellMar>
          <w:top w:w="80" w:type="dxa"/>
          <w:left w:w="80" w:type="dxa"/>
          <w:bottom w:w="80" w:type="dxa"/>
          <w:right w:w="80" w:type="dxa"/>
        </w:tblCellMar>
      </w:tblPr>
      <w:tblGrid>
        <w:gridCol w:w="3705"/>
        <w:gridCol w:w="2715"/>
        <w:gridCol w:w="3207"/>
      </w:tblGrid>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216"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Default"/>
        <w:numPr>
          <w:ilvl w:val="0"/>
          <w:numId w:val="31"/>
        </w:numPr>
        <w:bidi w:val="0"/>
        <w:ind w:left="720" w:right="0" w:hanging="720"/>
        <w:jc w:val="both"/>
        <w:rPr>
          <w:rStyle w:val="Markedcontent"/>
          <w:b/>
          <w:b/>
          <w:bCs/>
          <w:color w:val="000000"/>
          <w:u w:val="none" w:color="000000"/>
          <w:lang w:val="it-IT"/>
        </w:rPr>
      </w:pPr>
      <w:r>
        <w:rPr>
          <w:rStyle w:val="Markedcontent"/>
          <w:b/>
          <w:bCs/>
          <w:lang w:val="it-IT"/>
        </w:rPr>
        <w:t>PROFILO EDUCATIVO, CULTURALE E PROFESSIONALE ISTITUTO PROFESSIONALE</w:t>
      </w:r>
    </w:p>
    <w:p>
      <w:pPr>
        <w:pStyle w:val="Default"/>
        <w:tabs>
          <w:tab w:val="clear" w:pos="720"/>
          <w:tab w:val="left" w:pos="540" w:leader="none"/>
        </w:tabs>
        <w:jc w:val="both"/>
        <w:rPr>
          <w:rStyle w:val="Markedcontent"/>
          <w:b/>
          <w:b/>
          <w:bCs/>
          <w:color w:val="000000"/>
          <w:u w:val="none" w:color="000000"/>
        </w:rPr>
      </w:pPr>
      <w:r>
        <w:rPr>
          <w:b/>
          <w:bCs/>
          <w:color w:val="000000"/>
          <w:u w:val="none" w:color="000000"/>
        </w:rPr>
      </w:r>
    </w:p>
    <w:p>
      <w:pPr>
        <w:pStyle w:val="ListParagraph"/>
        <w:numPr>
          <w:ilvl w:val="0"/>
          <w:numId w:val="4"/>
        </w:numPr>
        <w:bidi w:val="0"/>
        <w:ind w:left="426" w:right="0" w:hanging="360"/>
        <w:jc w:val="both"/>
        <w:rPr>
          <w:rStyle w:val="Markedcontent"/>
          <w:b/>
          <w:b/>
          <w:bCs/>
          <w:lang w:val="it-IT"/>
        </w:rPr>
      </w:pPr>
      <w:r>
        <w:rPr>
          <w:rStyle w:val="Markedcontent"/>
          <w:b/>
          <w:bCs/>
          <w:lang w:val="it-IT"/>
        </w:rPr>
        <w:t>Risultati di apprendimento comuni a tutti gli indirizzi</w:t>
      </w:r>
    </w:p>
    <w:p>
      <w:pPr>
        <w:pStyle w:val="Normal"/>
        <w:numPr>
          <w:ilvl w:val="0"/>
          <w:numId w:val="5"/>
        </w:numPr>
        <w:spacing w:before="0" w:after="0"/>
        <w:ind w:left="720" w:right="0" w:hanging="360"/>
        <w:jc w:val="both"/>
        <w:rPr>
          <w:lang w:val="it-IT"/>
        </w:rPr>
      </w:pPr>
      <w:r>
        <w:rPr>
          <w:lang w:val="it-IT"/>
        </w:rPr>
        <w:t>agire in riferimento ad un sistema di valori, coerenti con i principi della Costituzione, in base ai quali essere in grado di valutare fatti e orientare i propri comportamenti personali, sociali e professionali;</w:t>
      </w:r>
    </w:p>
    <w:p>
      <w:pPr>
        <w:pStyle w:val="Normal"/>
        <w:numPr>
          <w:ilvl w:val="0"/>
          <w:numId w:val="5"/>
        </w:numPr>
        <w:spacing w:before="0" w:after="0"/>
        <w:ind w:left="720" w:right="0" w:hanging="360"/>
        <w:jc w:val="both"/>
        <w:rPr>
          <w:lang w:val="it-IT"/>
        </w:rPr>
      </w:pPr>
      <w:r>
        <w:rPr>
          <w:lang w:val="it-IT"/>
        </w:rPr>
        <w:t xml:space="preserve">utilizzare gli strumenti culturali e metodologici acquisiti per porsi con atteggiamento razionale, critico, creativo e responsabile nei confronti della realtà, dei suoi fenomeni e dei suoi problemi, anche ai fini dell'apprendimento permanente; </w:t>
      </w:r>
    </w:p>
    <w:p>
      <w:pPr>
        <w:pStyle w:val="Normal"/>
        <w:numPr>
          <w:ilvl w:val="0"/>
          <w:numId w:val="6"/>
        </w:numPr>
        <w:spacing w:before="0" w:after="0"/>
        <w:ind w:left="720" w:right="0" w:hanging="360"/>
        <w:jc w:val="both"/>
        <w:rPr>
          <w:lang w:val="it-IT"/>
        </w:rPr>
      </w:pPr>
      <w:r>
        <w:rPr>
          <w:lang w:val="it-IT"/>
        </w:rPr>
        <w:t xml:space="preserve">utilizzare il patrimonio lessicale ed espressivo della lingua italiana secondo le esigenze comunicative nei vari contesti: sociali, culturali, scientifici, economici, tecnologici e professionali; </w:t>
      </w:r>
    </w:p>
    <w:p>
      <w:pPr>
        <w:pStyle w:val="Normal"/>
        <w:numPr>
          <w:ilvl w:val="0"/>
          <w:numId w:val="6"/>
        </w:numPr>
        <w:spacing w:before="0" w:after="0"/>
        <w:ind w:left="720" w:right="0" w:hanging="360"/>
        <w:jc w:val="both"/>
        <w:rPr>
          <w:lang w:val="it-IT"/>
        </w:rPr>
      </w:pPr>
      <w:r>
        <w:rPr>
          <w:lang w:val="it-IT"/>
        </w:rPr>
        <w:t xml:space="preserve">riconoscere gli aspetti geografici, ecologici, territoriali, dell’ambiente naturale ed antropico, le connessioni con le strutture demografiche, economiche, sociali, culturali e le trasformazioni intervenute nel corso del tempo; </w:t>
      </w:r>
    </w:p>
    <w:p>
      <w:pPr>
        <w:pStyle w:val="Normal"/>
        <w:numPr>
          <w:ilvl w:val="0"/>
          <w:numId w:val="6"/>
        </w:numPr>
        <w:spacing w:before="0" w:after="0"/>
        <w:ind w:left="720" w:right="0" w:hanging="360"/>
        <w:jc w:val="both"/>
        <w:rPr>
          <w:lang w:val="it-IT"/>
        </w:rPr>
      </w:pPr>
      <w:r>
        <w:rPr>
          <w:lang w:val="it-IT"/>
        </w:rPr>
        <w:t xml:space="preserve">stabilire collegamenti tra le tradizioni culturali locali, nazionali ed internazionali, sia in una prospettiva interculturale sia ai fini della mobilità di studio e di lavoro; </w:t>
      </w:r>
    </w:p>
    <w:p>
      <w:pPr>
        <w:pStyle w:val="Normal"/>
        <w:numPr>
          <w:ilvl w:val="0"/>
          <w:numId w:val="6"/>
        </w:numPr>
        <w:spacing w:before="0" w:after="0"/>
        <w:ind w:left="720" w:right="0" w:hanging="360"/>
        <w:jc w:val="both"/>
        <w:rPr>
          <w:lang w:val="it-IT"/>
        </w:rPr>
      </w:pPr>
      <w:r>
        <w:rPr>
          <w:lang w:val="it-IT"/>
        </w:rPr>
        <w:t xml:space="preserve">utilizzare i linguaggi settoriali delle lingue straniere previste dai percorsi di studio per interagire in diversi ambiti e contesti di studio e di lavoro; </w:t>
      </w:r>
    </w:p>
    <w:p>
      <w:pPr>
        <w:pStyle w:val="Normal"/>
        <w:numPr>
          <w:ilvl w:val="0"/>
          <w:numId w:val="6"/>
        </w:numPr>
        <w:spacing w:before="0" w:after="0"/>
        <w:ind w:left="720" w:right="0" w:hanging="360"/>
        <w:jc w:val="both"/>
        <w:rPr>
          <w:lang w:val="it-IT"/>
        </w:rPr>
      </w:pPr>
      <w:r>
        <w:rPr>
          <w:lang w:val="it-IT"/>
        </w:rPr>
        <w:t xml:space="preserve">riconoscere il valore e le potenzialità dei beni artistici e ambientali; </w:t>
      </w:r>
    </w:p>
    <w:p>
      <w:pPr>
        <w:pStyle w:val="Normal"/>
        <w:numPr>
          <w:ilvl w:val="0"/>
          <w:numId w:val="6"/>
        </w:numPr>
        <w:spacing w:before="0" w:after="0"/>
        <w:ind w:left="720" w:right="0" w:hanging="360"/>
        <w:jc w:val="both"/>
        <w:rPr>
          <w:lang w:val="it-IT"/>
        </w:rPr>
      </w:pPr>
      <w:r>
        <w:rPr>
          <w:lang w:val="it-IT"/>
        </w:rPr>
        <w:t xml:space="preserve">individuare ed utilizzare le moderne forme di comunicazione visiva, multimediale e digitale, anche con riferimento alle strategie espressive e agli strumenti tecnici della comunicazione in rete; </w:t>
      </w:r>
    </w:p>
    <w:p>
      <w:pPr>
        <w:pStyle w:val="Normal"/>
        <w:numPr>
          <w:ilvl w:val="0"/>
          <w:numId w:val="6"/>
        </w:numPr>
        <w:spacing w:before="0" w:after="0"/>
        <w:ind w:left="720" w:right="0" w:hanging="360"/>
        <w:jc w:val="both"/>
        <w:rPr>
          <w:lang w:val="it-IT"/>
        </w:rPr>
      </w:pPr>
      <w:r>
        <w:rPr>
          <w:lang w:val="it-IT"/>
        </w:rPr>
        <w:t>utilizzare le reti e gli strumenti informatici per l’accesso ai web e ai social nelle attività di studio, ricerca e approfondimento;</w:t>
      </w:r>
    </w:p>
    <w:p>
      <w:pPr>
        <w:pStyle w:val="Normal"/>
        <w:numPr>
          <w:ilvl w:val="0"/>
          <w:numId w:val="6"/>
        </w:numPr>
        <w:spacing w:before="0" w:after="0"/>
        <w:ind w:left="720" w:right="0" w:hanging="360"/>
        <w:jc w:val="both"/>
        <w:rPr>
          <w:lang w:val="it-IT"/>
        </w:rPr>
      </w:pPr>
      <w:r>
        <w:rPr>
          <w:lang w:val="it-IT"/>
        </w:rPr>
        <w:t xml:space="preserve">riconoscere i principali aspetti comunicativi, culturali e relazionali dell’espressività corporea ed esercitare in modo efficace la pratica sportiva per il benessere individuale e collettivo; </w:t>
      </w:r>
    </w:p>
    <w:p>
      <w:pPr>
        <w:pStyle w:val="Normal"/>
        <w:numPr>
          <w:ilvl w:val="0"/>
          <w:numId w:val="6"/>
        </w:numPr>
        <w:spacing w:before="0" w:after="0"/>
        <w:ind w:left="720" w:right="0" w:hanging="360"/>
        <w:jc w:val="both"/>
        <w:rPr>
          <w:lang w:val="it-IT"/>
        </w:rPr>
      </w:pPr>
      <w:r>
        <w:rPr>
          <w:lang w:val="it-IT"/>
        </w:rPr>
        <w:t xml:space="preserve">comprendere e utilizzare i principali concetti relativi all’economia, all’organizzazione, allo svolgimento dei processi produttivi e dei servizi; </w:t>
      </w:r>
    </w:p>
    <w:p>
      <w:pPr>
        <w:pStyle w:val="Normal"/>
        <w:numPr>
          <w:ilvl w:val="0"/>
          <w:numId w:val="7"/>
        </w:numPr>
        <w:spacing w:before="0" w:after="0"/>
        <w:ind w:left="720" w:right="0" w:hanging="360"/>
        <w:jc w:val="both"/>
        <w:rPr>
          <w:lang w:val="it-IT"/>
        </w:rPr>
      </w:pPr>
      <w:r>
        <w:rPr>
          <w:lang w:val="it-IT"/>
        </w:rPr>
        <w:t>padroneggiare l’uso di strumenti tecnologici con particolare attenzione alla sicurezza e alla tutela della salute nei luoghi di vita e di lavoro, alla tutela della persona, dell’ambiente e del territorio;</w:t>
      </w:r>
    </w:p>
    <w:p>
      <w:pPr>
        <w:pStyle w:val="Normal"/>
        <w:numPr>
          <w:ilvl w:val="0"/>
          <w:numId w:val="7"/>
        </w:numPr>
        <w:spacing w:before="0" w:after="0"/>
        <w:ind w:left="720" w:right="0" w:hanging="360"/>
        <w:jc w:val="both"/>
        <w:rPr>
          <w:lang w:val="it-IT"/>
        </w:rPr>
      </w:pPr>
      <w:r>
        <w:rPr>
          <w:lang w:val="it-IT"/>
        </w:rPr>
        <w:t>utilizzare i concetti e i fondamentali strumenti degli assi culturali per comprendere la realtà ed operare in campi applicativi.</w:t>
      </w:r>
    </w:p>
    <w:p>
      <w:pPr>
        <w:pStyle w:val="ListParagraph"/>
        <w:ind w:left="0" w:right="0" w:hanging="0"/>
        <w:jc w:val="both"/>
        <w:rPr/>
      </w:pPr>
      <w:r>
        <w:rPr/>
      </w:r>
    </w:p>
    <w:p>
      <w:pPr>
        <w:pStyle w:val="ListParagraph"/>
        <w:numPr>
          <w:ilvl w:val="0"/>
          <w:numId w:val="32"/>
        </w:numPr>
        <w:suppressAutoHyphens w:val="true"/>
        <w:bidi w:val="0"/>
        <w:ind w:left="426" w:right="0" w:hanging="360"/>
        <w:jc w:val="both"/>
        <w:rPr>
          <w:rStyle w:val="Markedcontent"/>
          <w:b/>
          <w:b/>
          <w:bCs/>
          <w:lang w:val="it-IT"/>
        </w:rPr>
      </w:pPr>
      <w:r>
        <w:rPr>
          <w:rStyle w:val="Markedcontent"/>
          <w:b/>
          <w:bCs/>
          <w:lang w:val="it-IT"/>
        </w:rPr>
        <w:t>Competenze specifiche indirizzo Servizi Commerciali</w:t>
      </w:r>
    </w:p>
    <w:p>
      <w:pPr>
        <w:pStyle w:val="ListParagraph"/>
        <w:numPr>
          <w:ilvl w:val="0"/>
          <w:numId w:val="9"/>
        </w:numPr>
        <w:spacing w:before="0" w:after="0"/>
        <w:ind w:left="720" w:right="0" w:hanging="360"/>
        <w:jc w:val="both"/>
        <w:rPr>
          <w:lang w:val="it-IT"/>
        </w:rPr>
      </w:pPr>
      <w:r>
        <w:rPr>
          <w:lang w:val="it-IT"/>
        </w:rPr>
        <w:t>Interagire nei sistemi aziendali riconoscendone i diversi modelli organizzativi, le diverse forme giuridiche con cui viene svolta l’attività e le modalità di trasmissione dei flussi informativi, collaborando alla stesura di documenti aziendali di rilevanza interna ed esterna e all’esecuzione degli adempimenti civilistici e fiscali ricorrenti.</w:t>
      </w:r>
    </w:p>
    <w:p>
      <w:pPr>
        <w:pStyle w:val="ListParagraph"/>
        <w:numPr>
          <w:ilvl w:val="0"/>
          <w:numId w:val="9"/>
        </w:numPr>
        <w:spacing w:before="0" w:after="0"/>
        <w:ind w:left="720" w:right="0" w:hanging="360"/>
        <w:jc w:val="both"/>
        <w:rPr>
          <w:lang w:val="it-IT"/>
        </w:rPr>
      </w:pPr>
      <w:r>
        <w:rPr>
          <w:lang w:val="it-IT"/>
        </w:rPr>
        <w:t>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 riservatezza.</w:t>
      </w:r>
    </w:p>
    <w:p>
      <w:pPr>
        <w:pStyle w:val="ListParagraph"/>
        <w:numPr>
          <w:ilvl w:val="0"/>
          <w:numId w:val="9"/>
        </w:numPr>
        <w:spacing w:before="0" w:after="0"/>
        <w:ind w:left="720" w:right="0" w:hanging="360"/>
        <w:jc w:val="both"/>
        <w:rPr>
          <w:lang w:val="it-IT"/>
        </w:rPr>
      </w:pPr>
      <w:r>
        <w:rPr>
          <w:lang w:val="it-IT"/>
        </w:rPr>
        <w:t>Collaborare alle attività di pianificazione, programmazione, rendicontazione, rappresentazione e comunicazione dei risultati della gestione, contribuendo alla valutazione dell’impatto economico e finanziario dei processi gestionali.</w:t>
      </w:r>
    </w:p>
    <w:p>
      <w:pPr>
        <w:pStyle w:val="ListParagraph"/>
        <w:numPr>
          <w:ilvl w:val="0"/>
          <w:numId w:val="9"/>
        </w:numPr>
        <w:spacing w:before="0" w:after="0"/>
        <w:ind w:left="720" w:right="0" w:hanging="360"/>
        <w:jc w:val="both"/>
        <w:rPr>
          <w:lang w:val="it-IT"/>
        </w:rPr>
      </w:pPr>
      <w:r>
        <w:rPr>
          <w:lang w:val="it-IT"/>
        </w:rPr>
        <w:t>Collaborare, nell’area della funzione commerciale, alla realizzazione delle azioni di fidelizzazione della clientela, anche tenendo conto delle tendenze artistiche e culturali locali, nazionali e internazionali, contribuendo alla gestione dei rapporti con i fornitori e con i clienti, anche internazionali, secondo principi di sostenibilità economico-sociale legate alle relazioni commerciali.</w:t>
      </w:r>
    </w:p>
    <w:p>
      <w:pPr>
        <w:pStyle w:val="ListParagraph"/>
        <w:numPr>
          <w:ilvl w:val="0"/>
          <w:numId w:val="9"/>
        </w:numPr>
        <w:spacing w:before="0" w:after="0"/>
        <w:ind w:left="720" w:right="0" w:hanging="360"/>
        <w:jc w:val="both"/>
        <w:rPr>
          <w:lang w:val="it-IT"/>
        </w:rPr>
      </w:pPr>
      <w:r>
        <w:rPr>
          <w:lang w:val="it-IT"/>
        </w:rPr>
        <w:t>Collaborare alla realizzazione di azioni di marketing strategico ed operativo, all’analisi dei mercati, alla valutazione delle campagne informative, pubblicitarie e promozionali del brand aziendale adeguate alla mission e alla policy aziendale, avvalendosi dei linguaggi più innovativi e anche degli aspetti visivi della comunicazione.</w:t>
      </w:r>
    </w:p>
    <w:p>
      <w:pPr>
        <w:pStyle w:val="ListParagraph"/>
        <w:numPr>
          <w:ilvl w:val="0"/>
          <w:numId w:val="9"/>
        </w:numPr>
        <w:spacing w:before="0" w:after="0"/>
        <w:ind w:left="720" w:right="0" w:hanging="360"/>
        <w:jc w:val="both"/>
        <w:rPr>
          <w:lang w:val="it-IT"/>
        </w:rPr>
      </w:pPr>
      <w:r>
        <w:rPr>
          <w:lang w:val="it-IT"/>
        </w:rPr>
        <w:t>Operare in sicurezza nel rispetto delle norme di igiene e di salvaguardia ambientale, prevenendo eventuali situazioni di rischio.</w:t>
      </w:r>
    </w:p>
    <w:p>
      <w:pPr>
        <w:pStyle w:val="ListParagraph"/>
        <w:numPr>
          <w:ilvl w:val="0"/>
          <w:numId w:val="9"/>
        </w:numPr>
        <w:spacing w:before="0" w:after="0"/>
        <w:ind w:left="720" w:right="0" w:hanging="360"/>
        <w:jc w:val="both"/>
        <w:rPr>
          <w:lang w:val="it-IT"/>
        </w:rPr>
      </w:pPr>
      <w:r>
        <w:rPr>
          <w:lang w:val="it-IT"/>
        </w:rPr>
        <w:t xml:space="preserve">Collaborare alla ricerca di soluzioni finanziarie e assicurative adeguate ed economicamente vantaggiose, tenendo conto delle dinamiche dei mercati di riferimento e dei macro-fenomeni nazionali e d internazionali. </w:t>
      </w:r>
      <w:r>
        <w:rPr>
          <w:rStyle w:val="Markedcontent"/>
          <w:color w:val="C00000"/>
          <w:u w:val="none" w:color="C00000"/>
          <w:lang w:val="it-IT"/>
        </w:rPr>
        <w:t>PER LE COMPETENZE SPECIFICHE INTERMEDIE SI VEDA PDF ALLEGATO "SERVIZI COMMERCIALI".</w:t>
      </w:r>
    </w:p>
    <w:p>
      <w:pPr>
        <w:pStyle w:val="Normal"/>
        <w:jc w:val="both"/>
        <w:rPr>
          <w:b/>
          <w:b/>
          <w:bCs/>
        </w:rPr>
      </w:pPr>
      <w:r>
        <w:rPr>
          <w:b/>
          <w:bCs/>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1947"/>
        <w:gridCol w:w="8014"/>
      </w:tblGrid>
      <w:tr>
        <w:trPr>
          <w:trHeight w:val="41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8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4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216" w:type="dxa"/>
        <w:tblLayout w:type="fixed"/>
        <w:tblCellMar>
          <w:top w:w="80" w:type="dxa"/>
          <w:left w:w="80" w:type="dxa"/>
          <w:bottom w:w="80" w:type="dxa"/>
          <w:right w:w="81" w:type="dxa"/>
        </w:tblCellMar>
      </w:tblPr>
      <w:tblGrid>
        <w:gridCol w:w="2468"/>
        <w:gridCol w:w="6945"/>
      </w:tblGrid>
      <w:tr>
        <w:trPr>
          <w:trHeight w:val="31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8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7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3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spacing w:lineRule="auto" w:line="276" w:before="0" w:after="200"/>
        <w:rPr>
          <w:rStyle w:val="Markedcontent"/>
          <w:color w:val="000000"/>
          <w:u w:val="none" w:color="000000"/>
        </w:rPr>
      </w:pPr>
      <w:r>
        <w:rPr>
          <w:color w:val="000000"/>
          <w:u w:val="none" w:color="000000"/>
        </w:rPr>
      </w:r>
    </w:p>
    <w:p>
      <w:pPr>
        <w:pStyle w:val="ListParagraph"/>
        <w:numPr>
          <w:ilvl w:val="0"/>
          <w:numId w:val="33"/>
        </w:numPr>
        <w:bidi w:val="0"/>
        <w:ind w:left="426" w:right="0" w:hanging="360"/>
        <w:jc w:val="both"/>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PERCORSI PER LE COMPETENZE TRASVERSALI E L’ORIENTAMENTO (PCTO)</w:t>
      </w:r>
    </w:p>
    <w:p>
      <w:pPr>
        <w:pStyle w:val="Normal"/>
        <w:tabs>
          <w:tab w:val="clear" w:pos="720"/>
          <w:tab w:val="left" w:pos="540" w:leader="none"/>
        </w:tabs>
        <w:jc w:val="both"/>
        <w:rPr/>
      </w:pPr>
      <w:r>
        <w:rPr>
          <w:lang w:val="it-IT"/>
        </w:rPr>
        <w:t>Il progetto di Istituto “Conoscere per valorizzare” si svolge nel periodo scolastico in orario curricolare ed extracurricolare.</w:t>
      </w:r>
    </w:p>
    <w:p>
      <w:pPr>
        <w:pStyle w:val="Normal"/>
        <w:jc w:val="both"/>
        <w:rPr/>
      </w:pPr>
      <w:r>
        <w:rPr>
          <w:lang w:val="it-IT"/>
        </w:rPr>
        <w:t>È organizzato in fasi progressive a partire dalla comunicazione e condivisione con gli alunni, culmina nell’esperienza pratica e si conclude con la rielaborazione e documentazione dell’esperienza realizzata.</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Finalità</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Attuare modalità di apprendimento che colleghino sistematicamente la formazione in aula con l’esperienza pratica.</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Realizzare contesti di apprendimento moderni e stimolanti.</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lo sviluppo di una solida cultura imprenditoriale.</w:t>
      </w:r>
    </w:p>
    <w:p>
      <w:pPr>
        <w:pStyle w:val="ListParagraph"/>
        <w:numPr>
          <w:ilvl w:val="0"/>
          <w:numId w:val="13"/>
        </w:numPr>
        <w:spacing w:before="0" w:after="0"/>
        <w:ind w:left="720" w:right="0" w:hanging="360"/>
        <w:jc w:val="both"/>
        <w:rPr>
          <w:rStyle w:val="Markedcontent"/>
          <w:color w:val="000000"/>
          <w:u w:val="none" w:color="000000"/>
          <w:lang w:val="it-IT"/>
        </w:rPr>
      </w:pPr>
      <w:r>
        <w:rPr>
          <w:lang w:val="it-IT"/>
        </w:rPr>
        <w:t>Collegare il sistema scolastico al sistema aziendale.</w:t>
      </w:r>
    </w:p>
    <w:p>
      <w:pPr>
        <w:pStyle w:val="ListParagraph"/>
        <w:numPr>
          <w:ilvl w:val="0"/>
          <w:numId w:val="13"/>
        </w:numPr>
        <w:spacing w:before="0" w:after="0"/>
        <w:ind w:left="720" w:right="0" w:hanging="360"/>
        <w:jc w:val="both"/>
        <w:rPr>
          <w:lang w:val="it-IT"/>
        </w:rPr>
      </w:pPr>
      <w:r>
        <w:rPr>
          <w:lang w:val="it-IT"/>
        </w:rPr>
        <w:t>Arricchire la formazione acquisita nei percorsi scolastici con competenze spendibili nel mondo del lavoro.</w:t>
      </w:r>
    </w:p>
    <w:p>
      <w:pPr>
        <w:pStyle w:val="ListParagraph"/>
        <w:numPr>
          <w:ilvl w:val="0"/>
          <w:numId w:val="13"/>
        </w:numPr>
        <w:spacing w:before="0" w:after="0"/>
        <w:ind w:left="720" w:right="0" w:hanging="360"/>
        <w:jc w:val="both"/>
        <w:rPr>
          <w:lang w:val="it-IT"/>
        </w:rPr>
      </w:pPr>
      <w:r>
        <w:rPr>
          <w:lang w:val="it-IT"/>
        </w:rPr>
        <w:t>Favorire l’orientamento dei giovani per valorizzare le vocazioni personali, gli interessi e gli stili di apprendimento.</w:t>
      </w:r>
    </w:p>
    <w:p>
      <w:pPr>
        <w:pStyle w:val="ListParagraph"/>
        <w:numPr>
          <w:ilvl w:val="0"/>
          <w:numId w:val="13"/>
        </w:numPr>
        <w:spacing w:before="0" w:after="0"/>
        <w:ind w:left="720" w:right="0" w:hanging="360"/>
        <w:jc w:val="both"/>
        <w:rPr>
          <w:lang w:val="it-IT"/>
        </w:rPr>
      </w:pPr>
      <w:r>
        <w:rPr>
          <w:lang w:val="it-IT"/>
        </w:rPr>
        <w:t>Creare un’occasione di confronto tra le nozioni apprese con lo studio delle discipline scolastiche e l’esperienza lavorativa.</w:t>
      </w:r>
    </w:p>
    <w:p>
      <w:pPr>
        <w:pStyle w:val="ListParagraph"/>
        <w:numPr>
          <w:ilvl w:val="0"/>
          <w:numId w:val="14"/>
        </w:numPr>
        <w:spacing w:before="0" w:after="0"/>
        <w:ind w:left="720" w:right="0" w:hanging="360"/>
        <w:jc w:val="both"/>
        <w:rPr>
          <w:lang w:val="it-IT"/>
        </w:rPr>
      </w:pPr>
      <w:r>
        <w:rPr>
          <w:lang w:val="it-IT"/>
        </w:rPr>
        <w:t>Realizzare un organico collegamento tra scuola e mondo del lavoro.</w:t>
      </w:r>
    </w:p>
    <w:p>
      <w:pPr>
        <w:pStyle w:val="ListParagraph"/>
        <w:numPr>
          <w:ilvl w:val="0"/>
          <w:numId w:val="14"/>
        </w:numPr>
        <w:spacing w:before="0" w:after="0"/>
        <w:ind w:left="720" w:right="0" w:hanging="360"/>
        <w:jc w:val="both"/>
        <w:rPr>
          <w:lang w:val="it-IT"/>
        </w:rPr>
      </w:pPr>
      <w:r>
        <w:rPr>
          <w:lang w:val="it-IT"/>
        </w:rPr>
        <w:t>Promuovere la cultura della progettazione.</w:t>
      </w:r>
    </w:p>
    <w:p>
      <w:pPr>
        <w:pStyle w:val="ListParagraph"/>
        <w:numPr>
          <w:ilvl w:val="0"/>
          <w:numId w:val="14"/>
        </w:numPr>
        <w:spacing w:before="0" w:after="0"/>
        <w:ind w:left="720" w:right="0" w:hanging="360"/>
        <w:jc w:val="both"/>
        <w:rPr>
          <w:lang w:val="it-IT"/>
        </w:rPr>
      </w:pPr>
      <w:r>
        <w:rPr>
          <w:lang w:val="it-IT"/>
        </w:rPr>
        <w:t>Arricchire il curriculum scolastico degli studenti con contenuti operativi, rilevando e valorizzando le competenze, in particolare quelle trasversali.</w:t>
      </w:r>
    </w:p>
    <w:p>
      <w:pPr>
        <w:pStyle w:val="Normal"/>
        <w:jc w:val="both"/>
        <w:rPr>
          <w:b/>
          <w:b/>
          <w:bCs/>
        </w:rPr>
      </w:pPr>
      <w:r>
        <w:rPr>
          <w:b/>
          <w:bCs/>
        </w:rPr>
      </w:r>
    </w:p>
    <w:p>
      <w:pPr>
        <w:pStyle w:val="Normal"/>
        <w:jc w:val="both"/>
        <w:rPr>
          <w:rStyle w:val="Markedcontent"/>
          <w:b/>
          <w:b/>
          <w:bCs/>
        </w:rPr>
      </w:pPr>
      <w:r>
        <w:rPr>
          <w:rStyle w:val="Markedcontent"/>
          <w:b/>
          <w:bCs/>
          <w:lang w:val="it-IT"/>
        </w:rPr>
        <w:t>Obiettivi Trasversali</w:t>
      </w:r>
    </w:p>
    <w:p>
      <w:pPr>
        <w:pStyle w:val="ListParagraph"/>
        <w:numPr>
          <w:ilvl w:val="0"/>
          <w:numId w:val="15"/>
        </w:numPr>
        <w:spacing w:before="0" w:after="0"/>
        <w:ind w:left="720" w:right="0" w:hanging="360"/>
        <w:jc w:val="both"/>
        <w:rPr>
          <w:lang w:val="it-IT"/>
        </w:rPr>
      </w:pPr>
      <w:r>
        <w:rPr>
          <w:lang w:val="it-IT"/>
        </w:rPr>
        <w:t>Motivare ad uno studio più proficuo e facilitare i processi cognitivi valorizzando i diversi stili di apprendimento.</w:t>
      </w:r>
    </w:p>
    <w:p>
      <w:pPr>
        <w:pStyle w:val="ListParagraph"/>
        <w:numPr>
          <w:ilvl w:val="0"/>
          <w:numId w:val="15"/>
        </w:numPr>
        <w:spacing w:before="0" w:after="0"/>
        <w:ind w:left="720" w:right="0" w:hanging="360"/>
        <w:jc w:val="both"/>
        <w:rPr>
          <w:lang w:val="it-IT"/>
        </w:rPr>
      </w:pPr>
      <w:r>
        <w:rPr>
          <w:lang w:val="it-IT"/>
        </w:rPr>
        <w:t xml:space="preserve">Promuovere l’apprendimento di norme, regole e atti che concorrono alla formazione dei cittadini come soggetti dei diritti e dei doveri che regolano tutti gli </w:t>
      </w:r>
      <w:r>
        <w:rPr>
          <w:rStyle w:val="Markedcontent"/>
          <w:color w:val="000000"/>
          <w:u w:val="none" w:color="000000"/>
          <w:lang w:val="it-IT"/>
        </w:rPr>
        <w:t>aspetti della vita associata, nel rispetto della pari dignità e nell’accettazione e valorizzazione della diversità.</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Potenziare conoscenze, competenze e capacità mediante esperienze concrete.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Favorire la motivazione allo studio, il recupero degli alunni in difficoltà, la valorizzazione delle eccellenze.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Sviluppare le competenze comunicative ed organizzative.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Potenziare le conoscenze mediante esperienze dirette e concrete attraverso esperienze di stage.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Inserire gli allievi in un ambiente di lavoro nel quale possono mettere a frutto, in modo autonomo e responsabile le conoscenze e le competenze apprese in ambito scolastico.</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negli studenti, la verifica dei propri interessi e attitudini agevolando le future scelte professionali.</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Far conoscere agli alunni i valori di riferimento in ambito lavorativo, l’organizzazione e le norme di comportamento.</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tbl>
      <w:tblPr>
        <w:tblW w:w="10060" w:type="dxa"/>
        <w:jc w:val="left"/>
        <w:tblInd w:w="216" w:type="dxa"/>
        <w:tblLayout w:type="fixed"/>
        <w:tblCellMar>
          <w:top w:w="80" w:type="dxa"/>
          <w:left w:w="80" w:type="dxa"/>
          <w:bottom w:w="80" w:type="dxa"/>
          <w:right w:w="80" w:type="dxa"/>
        </w:tblCellMar>
      </w:tblPr>
      <w:tblGrid>
        <w:gridCol w:w="3821"/>
        <w:gridCol w:w="6238"/>
      </w:tblGrid>
      <w:tr>
        <w:trPr>
          <w:trHeight w:val="310" w:hRule="atLeast"/>
        </w:trPr>
        <w:tc>
          <w:tcPr>
            <w:tcW w:w="10059"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Attività della classe</w:t>
            </w:r>
          </w:p>
        </w:tc>
      </w:tr>
      <w:tr>
        <w:trPr>
          <w:trHeight w:val="610" w:hRule="atLeast"/>
        </w:trPr>
        <w:tc>
          <w:tcPr>
            <w:tcW w:w="38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Progetti e approfondimenti curricolari</w:t>
            </w:r>
          </w:p>
        </w:tc>
        <w:tc>
          <w:tcPr>
            <w:tcW w:w="623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8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rFonts w:eastAsia="Cambria" w:cs="Cambria" w:ascii="Cambria" w:hAnsi="Cambria"/>
                <w:lang w:val="it-IT"/>
              </w:rPr>
              <w:t>Stage aziendali</w:t>
            </w:r>
          </w:p>
        </w:tc>
        <w:tc>
          <w:tcPr>
            <w:tcW w:w="623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10" w:hRule="atLeast"/>
        </w:trPr>
        <w:tc>
          <w:tcPr>
            <w:tcW w:w="38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Visite aziendali</w:t>
            </w:r>
          </w:p>
        </w:tc>
        <w:tc>
          <w:tcPr>
            <w:tcW w:w="623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jc w:val="both"/>
        <w:rPr>
          <w:rStyle w:val="Markedcontent"/>
          <w:color w:val="000000"/>
          <w:u w:val="single" w:color="000000"/>
        </w:rPr>
      </w:pPr>
      <w:r>
        <w:rPr>
          <w:color w:val="000000"/>
          <w:u w:val="single" w:color="000000"/>
        </w:rPr>
      </w:r>
    </w:p>
    <w:p>
      <w:pPr>
        <w:pStyle w:val="ListParagraph"/>
        <w:numPr>
          <w:ilvl w:val="0"/>
          <w:numId w:val="34"/>
        </w:numPr>
        <w:bidi w:val="0"/>
        <w:ind w:left="426" w:right="0" w:hanging="360"/>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3320"/>
        <w:gridCol w:w="3321"/>
        <w:gridCol w:w="3321"/>
      </w:tblGrid>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Tematiche interdisciplinari di approfondimento curricolare</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628" w:type="dxa"/>
        <w:jc w:val="left"/>
        <w:tblInd w:w="216" w:type="dxa"/>
        <w:tblLayout w:type="fixed"/>
        <w:tblCellMar>
          <w:top w:w="80" w:type="dxa"/>
          <w:left w:w="80" w:type="dxa"/>
          <w:bottom w:w="80" w:type="dxa"/>
          <w:right w:w="80" w:type="dxa"/>
        </w:tblCellMar>
      </w:tblPr>
      <w:tblGrid>
        <w:gridCol w:w="2829"/>
        <w:gridCol w:w="3589"/>
        <w:gridCol w:w="3210"/>
      </w:tblGrid>
      <w:tr>
        <w:trPr>
          <w:trHeight w:val="910" w:hRule="atLeast"/>
        </w:trPr>
        <w:tc>
          <w:tcPr>
            <w:tcW w:w="282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Testi, documenti, esperienze, progetti e problemi</w:t>
            </w:r>
          </w:p>
        </w:tc>
        <w:tc>
          <w:tcPr>
            <w:tcW w:w="358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Nodo concettuale</w:t>
            </w:r>
          </w:p>
        </w:tc>
        <w:tc>
          <w:tcPr>
            <w:tcW w:w="321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Discipline coinvolte</w:t>
            </w:r>
          </w:p>
        </w:tc>
      </w:tr>
      <w:tr>
        <w:trPr>
          <w:trHeight w:val="310" w:hRule="atLeast"/>
        </w:trPr>
        <w:tc>
          <w:tcPr>
            <w:tcW w:w="282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58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1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Spacing"/>
        <w:rPr/>
      </w:pPr>
      <w:r>
        <w:rPr/>
      </w:r>
    </w:p>
    <w:p>
      <w:pPr>
        <w:pStyle w:val="NoSpacing"/>
        <w:rPr/>
      </w:pPr>
      <w:r>
        <w:rPr/>
      </w:r>
    </w:p>
    <w:p>
      <w:pPr>
        <w:pStyle w:val="NoSpacing"/>
        <w:rPr>
          <w:rStyle w:val="Markedcontent"/>
          <w:b/>
          <w:b/>
          <w:bCs/>
          <w:color w:val="000000"/>
          <w:u w:val="none" w:color="000000"/>
        </w:rPr>
      </w:pPr>
      <w:r>
        <w:rPr>
          <w:rStyle w:val="Markedcontent"/>
          <w:rFonts w:eastAsia="Arial Unicode MS" w:cs="Arial Unicode MS"/>
          <w:b/>
          <w:bCs/>
          <w:lang w:val="it-IT"/>
        </w:rPr>
        <w:t>Moduli DNL con metodologia CLIL</w:t>
      </w:r>
    </w:p>
    <w:p>
      <w:pPr>
        <w:pStyle w:val="Normal"/>
        <w:jc w:val="center"/>
        <w:rPr>
          <w:b/>
          <w:b/>
          <w:bCs/>
        </w:rPr>
      </w:pPr>
      <w:r>
        <w:rPr>
          <w:b/>
          <w:bCs/>
        </w:rPr>
      </w:r>
    </w:p>
    <w:p>
      <w:pPr>
        <w:pStyle w:val="Normal"/>
        <w:jc w:val="both"/>
        <w:rPr/>
      </w:pPr>
      <w:r>
        <w:rPr>
          <w:lang w:val="it-IT"/>
        </w:rPr>
        <w:t xml:space="preserve">In ottemperanza alla normativa vigente, relativa agli apprendimenti del quinto anno, gli alunni possono usufruire delle competenze linguistiche in possesso del/dei docente/i di </w:t>
      </w:r>
      <w:r>
        <w:rPr>
          <w:rStyle w:val="Markedcontent"/>
          <w:b/>
          <w:bCs/>
          <w:lang w:val="it-IT"/>
        </w:rPr>
        <w:t>________________</w:t>
      </w:r>
      <w:r>
        <w:rPr>
          <w:lang w:val="it-IT"/>
        </w:rPr>
        <w:t xml:space="preserve"> per acquisire contenuti, conoscenze e competenze relativi a due moduli delle </w:t>
      </w:r>
      <w:r>
        <w:rPr>
          <w:rStyle w:val="Markedcontent"/>
          <w:b/>
          <w:bCs/>
          <w:lang w:val="it-IT"/>
        </w:rPr>
        <w:t xml:space="preserve">discipline non linguistiche (DNL) </w:t>
      </w:r>
      <w:r>
        <w:rPr>
          <w:lang w:val="it-IT"/>
        </w:rPr>
        <w:t>nelle lingue straniere previste dalle Linee Guida.</w:t>
      </w:r>
    </w:p>
    <w:p>
      <w:pPr>
        <w:pStyle w:val="Normal"/>
        <w:jc w:val="both"/>
        <w:rPr>
          <w:rStyle w:val="Markedcontent"/>
          <w:color w:val="000000"/>
          <w:u w:val="none" w:color="000000"/>
        </w:rPr>
      </w:pPr>
      <w:r>
        <w:rPr>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2020"/>
        <w:gridCol w:w="1844"/>
        <w:gridCol w:w="2382"/>
        <w:gridCol w:w="1841"/>
        <w:gridCol w:w="1885"/>
      </w:tblGrid>
      <w:tr>
        <w:trPr>
          <w:trHeight w:val="610"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Titolo del percorso</w:t>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Lingua</w:t>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84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Numero ore</w:t>
            </w:r>
          </w:p>
        </w:tc>
        <w:tc>
          <w:tcPr>
            <w:tcW w:w="18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 xml:space="preserve">Competenze </w:t>
            </w:r>
          </w:p>
        </w:tc>
      </w:tr>
      <w:tr>
        <w:trPr>
          <w:trHeight w:val="637"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37"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jc w:val="both"/>
        <w:rPr>
          <w:rStyle w:val="Markedcontent"/>
          <w:color w:val="000000"/>
          <w:u w:val="none" w:color="000000"/>
        </w:rPr>
      </w:pPr>
      <w:r>
        <w:rPr>
          <w:color w:val="000000"/>
          <w:u w:val="none" w:color="000000"/>
        </w:rPr>
      </w:r>
    </w:p>
    <w:p>
      <w:pPr>
        <w:pStyle w:val="Normal"/>
        <w:jc w:val="both"/>
        <w:rPr/>
      </w:pPr>
      <w:r>
        <w:rPr/>
      </w:r>
    </w:p>
    <w:p>
      <w:pPr>
        <w:pStyle w:val="NoSpacing"/>
        <w:rPr/>
      </w:pPr>
      <w:r>
        <w:rPr/>
      </w:r>
    </w:p>
    <w:p>
      <w:pPr>
        <w:pStyle w:val="NoSpacing"/>
        <w:numPr>
          <w:ilvl w:val="0"/>
          <w:numId w:val="35"/>
        </w:numPr>
        <w:bidi w:val="0"/>
        <w:ind w:left="567" w:right="0" w:hanging="540"/>
        <w:jc w:val="left"/>
        <w:rPr>
          <w:rStyle w:val="Markedcontent"/>
          <w:b/>
          <w:b/>
          <w:bCs/>
        </w:rPr>
      </w:pPr>
      <w:bookmarkStart w:id="2" w:name="_gjdgxs1"/>
      <w:r>
        <w:rPr>
          <w:rStyle w:val="Markedcontent"/>
          <w:b/>
          <w:bCs/>
          <w:lang w:val="it-IT"/>
        </w:rPr>
        <w:t xml:space="preserve">METODOLOGIE E STRATEGIE DIDATTICHE </w:t>
      </w:r>
    </w:p>
    <w:p>
      <w:pPr>
        <w:pStyle w:val="Normal"/>
        <w:numPr>
          <w:ilvl w:val="0"/>
          <w:numId w:val="3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3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3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39"/>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40"/>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41"/>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42"/>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4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4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4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4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4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4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49"/>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50"/>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51"/>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5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5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5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5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5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5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5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59"/>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Start w:id="4" w:name="_gjdgxs2"/>
      <w:bookmarkEnd w:id="3"/>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9"/>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9"/>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21"/>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21"/>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21"/>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60"/>
        </w:numPr>
        <w:bidi w:val="0"/>
        <w:ind w:left="426" w:right="3" w:hanging="36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61"/>
        </w:numPr>
        <w:bidi w:val="0"/>
        <w:ind w:left="426" w:right="0" w:hanging="36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4"/>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4"/>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4"/>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62"/>
        </w:numPr>
        <w:bidi w:val="0"/>
        <w:ind w:left="426" w:right="0" w:hanging="36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ind w:left="0" w:right="1" w:hanging="0"/>
        <w:jc w:val="both"/>
        <w:rPr>
          <w:rStyle w:val="Markedcontent"/>
          <w:color w:val="000000"/>
          <w:u w:val="none" w:color="000000"/>
        </w:rPr>
      </w:pPr>
      <w:r>
        <w:rPr>
          <w:color w:val="000000"/>
          <w:u w:val="none" w:color="000000"/>
        </w:rPr>
      </w:r>
    </w:p>
    <w:p>
      <w:pPr>
        <w:pStyle w:val="Normal"/>
        <w:ind w:left="0" w:right="1" w:hanging="0"/>
        <w:jc w:val="both"/>
        <w:rPr>
          <w:rStyle w:val="Markedcontent"/>
          <w:color w:val="000000"/>
          <w:u w:val="none" w:color="000000"/>
        </w:rPr>
      </w:pPr>
      <w:r>
        <w:rPr>
          <w:color w:val="000000"/>
          <w:u w:val="none" w:color="000000"/>
        </w:rPr>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63"/>
        </w:numPr>
        <w:bidi w:val="0"/>
        <w:ind w:left="567" w:right="3" w:hanging="36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8"/>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 xml:space="preserve">Recupero curricolare: Ogni qualvolta sarà necessario, i docenti procederanno all’attivazione del recupero di conoscenze e competenze in orario curricolare. Il recupero avverrà anche attraverso la pausa didattica </w:t>
      </w:r>
      <w:bookmarkStart w:id="5" w:name="_gjdgxs3"/>
      <w:bookmarkEnd w:id="4"/>
      <w:r>
        <w:rPr>
          <w:lang w:val="it-IT"/>
        </w:rPr>
        <w:t>a conclusione del primo quadrimestre</w:t>
      </w:r>
      <w:bookmarkEnd w:id="5"/>
      <w:r>
        <w:rPr>
          <w:rStyle w:val="Markedcontent"/>
          <w:color w:val="000000"/>
          <w:u w:val="none" w:color="000000"/>
          <w:lang w:val="it-IT"/>
        </w:rPr>
        <w:t>.</w:t>
      </w:r>
    </w:p>
    <w:p>
      <w:pPr>
        <w:pStyle w:val="Normal"/>
        <w:numPr>
          <w:ilvl w:val="0"/>
          <w:numId w:val="28"/>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8"/>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0" w:right="312" w:hanging="0"/>
        <w:jc w:val="both"/>
        <w:rPr>
          <w:rStyle w:val="Markedcontent"/>
          <w:color w:val="000000"/>
          <w:u w:val="none" w:color="000000"/>
        </w:rPr>
      </w:pPr>
      <w:r>
        <w:rPr>
          <w:color w:val="000000"/>
          <w:u w:val="none" w:color="000000"/>
        </w:rPr>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ListParagraph"/>
        <w:numPr>
          <w:ilvl w:val="0"/>
          <w:numId w:val="64"/>
        </w:numPr>
        <w:bidi w:val="0"/>
        <w:ind w:left="567" w:right="0" w:hanging="360"/>
        <w:jc w:val="left"/>
        <w:rPr>
          <w:rStyle w:val="Markedcontent"/>
          <w:b/>
          <w:b/>
          <w:bCs/>
          <w:color w:val="000000"/>
          <w:u w:val="none" w:color="000000"/>
          <w:lang w:val="it-IT"/>
        </w:rPr>
      </w:pP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216" w:type="dxa"/>
        <w:tblLayout w:type="fixed"/>
        <w:tblCellMar>
          <w:top w:w="80" w:type="dxa"/>
          <w:left w:w="167" w:type="dxa"/>
          <w:bottom w:w="80" w:type="dxa"/>
          <w:right w:w="83" w:type="dxa"/>
        </w:tblCellMar>
      </w:tblPr>
      <w:tblGrid>
        <w:gridCol w:w="5626"/>
        <w:gridCol w:w="3540"/>
      </w:tblGrid>
      <w:tr>
        <w:trPr>
          <w:trHeight w:val="31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4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lang w:val="it-IT"/>
              </w:rPr>
            </w:pPr>
            <w:r>
              <w:rPr>
                <w:lang w:val="it-IT"/>
              </w:rPr>
            </w:r>
          </w:p>
          <w:p>
            <w:pPr>
              <w:pStyle w:val="Normal"/>
              <w:widowControl w:val="false"/>
              <w:spacing w:lineRule="auto" w:line="249" w:before="0" w:after="166"/>
              <w:ind w:left="87" w:right="3" w:hanging="10"/>
              <w:jc w:val="both"/>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b/>
          <w:b/>
          <w:bCs/>
        </w:rPr>
      </w:pPr>
      <w:r>
        <w:rPr>
          <w:b/>
          <w:bCs/>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216" w:type="dxa"/>
        <w:tblLayout w:type="fixed"/>
        <w:tblCellMar>
          <w:top w:w="80" w:type="dxa"/>
          <w:left w:w="80" w:type="dxa"/>
          <w:bottom w:w="80" w:type="dxa"/>
          <w:right w:w="80" w:type="dxa"/>
        </w:tblCellMar>
      </w:tblPr>
      <w:tblGrid>
        <w:gridCol w:w="4981"/>
        <w:gridCol w:w="4980"/>
      </w:tblGrid>
      <w:tr>
        <w:trPr>
          <w:trHeight w:val="25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decimal"/>
      <w:lvlText w:val="%1."/>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720" w:hanging="720"/>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4">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6">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8">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9">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color w:val="000000"/>
      </w:rPr>
    </w:lvl>
    <w:lvl w:ilvl="1">
      <w:start w:val="1"/>
      <w:numFmt w:val="decimal"/>
      <w:lvlText w:val="%1.%2."/>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color w:val="000000"/>
      </w:rPr>
    </w:lvl>
    <w:lvl w:ilvl="2">
      <w:start w:val="1"/>
      <w:numFmt w:val="decimal"/>
      <w:lvlText w:val="%1.%2.%3."/>
      <w:lvlJc w:val="left"/>
      <w:pPr>
        <w:tabs>
          <w:tab w:val="num" w:pos="0"/>
        </w:tabs>
        <w:ind w:left="1080" w:hanging="720"/>
      </w:pPr>
      <w:rPr>
        <w:smallCaps w:val="false"/>
        <w:caps w:val="false"/>
        <w:outline w:val="false"/>
        <w:dstrike w:val="false"/>
        <w:strike w:val="false"/>
        <w:vertAlign w:val="baseline"/>
        <w:position w:val="0"/>
        <w:sz w:val="20"/>
        <w:spacing w:val="0"/>
        <w:kern w:val="0"/>
        <w:w w:val="100"/>
        <w:emboss w:val="false"/>
        <w:imprint w:val="false"/>
        <w:color w:val="000000"/>
      </w:rPr>
    </w:lvl>
    <w:lvl w:ilvl="3">
      <w:start w:val="1"/>
      <w:numFmt w:val="decimal"/>
      <w:lvlText w:val="%1.%2.%3.%4."/>
      <w:lvlJc w:val="left"/>
      <w:pPr>
        <w:tabs>
          <w:tab w:val="num" w:pos="0"/>
        </w:tabs>
        <w:ind w:left="1080" w:hanging="720"/>
      </w:pPr>
      <w:rPr>
        <w:smallCaps w:val="false"/>
        <w:caps w:val="false"/>
        <w:outline w:val="false"/>
        <w:dstrike w:val="false"/>
        <w:strike w:val="false"/>
        <w:vertAlign w:val="baseline"/>
        <w:position w:val="0"/>
        <w:sz w:val="20"/>
        <w:spacing w:val="0"/>
        <w:kern w:val="0"/>
        <w:w w:val="100"/>
        <w:emboss w:val="false"/>
        <w:imprint w:val="false"/>
        <w:color w:val="000000"/>
      </w:rPr>
    </w:lvl>
    <w:lvl w:ilvl="4">
      <w:start w:val="1"/>
      <w:numFmt w:val="decimal"/>
      <w:lvlText w:val="%1.%2.%3.%4.%5."/>
      <w:lvlJc w:val="left"/>
      <w:pPr>
        <w:tabs>
          <w:tab w:val="num" w:pos="0"/>
        </w:tabs>
        <w:ind w:left="1440" w:hanging="1080"/>
      </w:pPr>
      <w:rPr>
        <w:smallCaps w:val="false"/>
        <w:caps w:val="false"/>
        <w:outline w:val="false"/>
        <w:dstrike w:val="false"/>
        <w:strike w:val="false"/>
        <w:vertAlign w:val="baseline"/>
        <w:position w:val="0"/>
        <w:sz w:val="20"/>
        <w:spacing w:val="0"/>
        <w:kern w:val="0"/>
        <w:w w:val="100"/>
        <w:emboss w:val="false"/>
        <w:imprint w:val="false"/>
        <w:color w:val="000000"/>
      </w:rPr>
    </w:lvl>
    <w:lvl w:ilvl="5">
      <w:start w:val="1"/>
      <w:numFmt w:val="decimal"/>
      <w:lvlText w:val="%1.%2.%3.%4.%5.%6."/>
      <w:lvlJc w:val="left"/>
      <w:pPr>
        <w:tabs>
          <w:tab w:val="num" w:pos="0"/>
        </w:tabs>
        <w:ind w:left="1440" w:hanging="1080"/>
      </w:pPr>
      <w:rPr>
        <w:smallCaps w:val="false"/>
        <w:caps w:val="false"/>
        <w:outline w:val="false"/>
        <w:dstrike w:val="false"/>
        <w:strike w:val="false"/>
        <w:vertAlign w:val="baseline"/>
        <w:position w:val="0"/>
        <w:sz w:val="20"/>
        <w:spacing w:val="0"/>
        <w:kern w:val="0"/>
        <w:w w:val="100"/>
        <w:emboss w:val="false"/>
        <w:imprint w:val="false"/>
        <w:color w:val="000000"/>
      </w:rPr>
    </w:lvl>
    <w:lvl w:ilvl="6">
      <w:start w:val="1"/>
      <w:numFmt w:val="decimal"/>
      <w:lvlText w:val="%1.%2.%3.%4.%5.%6.%7."/>
      <w:lvlJc w:val="left"/>
      <w:pPr>
        <w:tabs>
          <w:tab w:val="num" w:pos="0"/>
        </w:tabs>
        <w:ind w:left="1800" w:hanging="1440"/>
      </w:pPr>
      <w:rPr>
        <w:smallCaps w:val="false"/>
        <w:caps w:val="false"/>
        <w:outline w:val="false"/>
        <w:dstrike w:val="false"/>
        <w:strike w:val="false"/>
        <w:vertAlign w:val="baseline"/>
        <w:position w:val="0"/>
        <w:sz w:val="20"/>
        <w:spacing w:val="0"/>
        <w:kern w:val="0"/>
        <w:w w:val="100"/>
        <w:emboss w:val="false"/>
        <w:imprint w:val="false"/>
        <w:color w:val="000000"/>
      </w:rPr>
    </w:lvl>
    <w:lvl w:ilvl="7">
      <w:start w:val="1"/>
      <w:numFmt w:val="decimal"/>
      <w:lvlText w:val="%1.%2.%3.%4.%5.%6.%7.%8."/>
      <w:lvlJc w:val="left"/>
      <w:pPr>
        <w:tabs>
          <w:tab w:val="num" w:pos="0"/>
        </w:tabs>
        <w:ind w:left="1800" w:hanging="1440"/>
      </w:pPr>
      <w:rPr>
        <w:smallCaps w:val="false"/>
        <w:caps w:val="false"/>
        <w:outline w:val="false"/>
        <w:dstrike w:val="false"/>
        <w:strike w:val="false"/>
        <w:vertAlign w:val="baseline"/>
        <w:position w:val="0"/>
        <w:sz w:val="20"/>
        <w:spacing w:val="0"/>
        <w:kern w:val="0"/>
        <w:w w:val="100"/>
        <w:emboss w:val="false"/>
        <w:imprint w:val="false"/>
        <w:color w:val="000000"/>
      </w:rPr>
    </w:lvl>
    <w:lvl w:ilvl="8">
      <w:start w:val="1"/>
      <w:numFmt w:val="decimal"/>
      <w:lvlText w:val="%1.%2.%3.%4.%5.%6.%7.%8.%9."/>
      <w:lvlJc w:val="left"/>
      <w:pPr>
        <w:tabs>
          <w:tab w:val="num" w:pos="0"/>
        </w:tabs>
        <w:ind w:left="2160" w:hanging="1800"/>
      </w:pPr>
      <w:rPr>
        <w:smallCaps w:val="false"/>
        <w:caps w:val="false"/>
        <w:outline w:val="false"/>
        <w:dstrike w:val="false"/>
        <w:strike w:val="false"/>
        <w:vertAlign w:val="baseline"/>
        <w:position w:val="0"/>
        <w:sz w:val="20"/>
        <w:spacing w:val="0"/>
        <w:kern w:val="0"/>
        <w:w w:val="100"/>
        <w:emboss w:val="false"/>
        <w:imprint w:val="false"/>
        <w:color w:val="000000"/>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3"/>
      <w:numFmt w:val="decimal"/>
      <w:lvlText w:val="%1."/>
      <w:lvlJc w:val="left"/>
      <w:pPr>
        <w:tabs>
          <w:tab w:val="num" w:pos="567"/>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67"/>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4"/>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17">
    <w:lvl w:ilvl="0">
      <w:start w:val="5"/>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8">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9">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2">
    <w:lvl w:ilvl="0">
      <w:start w:val="6"/>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1866"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23">
    <w:lvl w:ilvl="0">
      <w:start w:val="1"/>
      <w:numFmt w:val="decimal"/>
      <w:lvlText w:val="%1."/>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2382"/>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2382"/>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2382"/>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2382"/>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2382"/>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2382"/>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2382"/>
        </w:tabs>
        <w:ind w:left="1866"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24">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5">
    <w:lvl w:ilvl="0">
      <w:start w:val="8"/>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1866"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26">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7">
    <w:lvl w:ilvl="0">
      <w:start w:val="9"/>
      <w:numFmt w:val="decimal"/>
      <w:lvlText w:val="%1."/>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2007"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28">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9">
    <w:lvl w:ilvl="0">
      <w:start w:val="10"/>
      <w:numFmt w:val="decimal"/>
      <w:lvlText w:val="%1."/>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1">
      <w:start w:val="1"/>
      <w:numFmt w:val="decimal"/>
      <w:lvlText w:val="%1.%2."/>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 w:ilvl="2">
      <w:start w:val="1"/>
      <w:numFmt w:val="decimal"/>
      <w:lvlText w:val="%1.%2.%3."/>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3">
      <w:start w:val="1"/>
      <w:numFmt w:val="decimal"/>
      <w:lvlText w:val="%1.%2.%3.%4."/>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 w:ilvl="4">
      <w:start w:val="1"/>
      <w:numFmt w:val="decimal"/>
      <w:lvlText w:val="%1.%2.%3.%4.%5."/>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5">
      <w:start w:val="1"/>
      <w:numFmt w:val="decimal"/>
      <w:lvlText w:val="%1.%2.%3.%4.%5.%6."/>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 w:ilvl="6">
      <w:start w:val="1"/>
      <w:numFmt w:val="decimal"/>
      <w:lvlText w:val="%1.%2.%3.%4.%5.%6.%7."/>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7">
      <w:start w:val="1"/>
      <w:numFmt w:val="decimal"/>
      <w:lvlText w:val="%1.%2.%3.%4.%5.%6.%7.%8."/>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 w:ilvl="8">
      <w:start w:val="1"/>
      <w:numFmt w:val="decimal"/>
      <w:lvlText w:val="%1.%2.%3.%4.%5.%6.%7.%8.%9."/>
      <w:lvlJc w:val="left"/>
      <w:pPr>
        <w:tabs>
          <w:tab w:val="num" w:pos="540"/>
        </w:tabs>
        <w:ind w:left="2007"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
    <w:lvlOverride w:ilvl="0">
      <w:startOverride w:val="2"/>
    </w:lvlOverride>
  </w:num>
  <w:num w:numId="32">
    <w:abstractNumId w:val="4"/>
    <w:lvlOverride w:ilvl="0">
      <w:startOverride w:val="2"/>
    </w:lvlOverride>
  </w:num>
  <w:num w:numId="33">
    <w:abstractNumId w:val="3"/>
    <w:lvlOverride w:ilvl="0">
      <w:lvl w:ilvl="0">
        <w:start w:val="3"/>
        <w:numFmt w:val="decimal"/>
        <w:lvlText w:val="%1."/>
        <w:lvlJc w:val="left"/>
        <w:pPr>
          <w:tabs>
            <w:tab w:val="num" w:pos="567"/>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startOverride w:val="3"/>
    </w:lvlOverride>
    <w:lvlOverride w:ilvl="0"/>
    <w:lvlOverride w:ilvl="1">
      <w:lvl w:ilvl="1">
        <w:start w:val="1"/>
        <w:numFmt w:val="decimal"/>
        <w:lvlText w:val="%1.%2."/>
        <w:lvlJc w:val="left"/>
        <w:pPr>
          <w:tabs>
            <w:tab w:val="num" w:pos="567"/>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540"/>
          </w:tabs>
          <w:ind w:left="567" w:hanging="501"/>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 w:numId="34">
    <w:abstractNumId w:val="3"/>
    <w:lvlOverride w:ilvl="0">
      <w:lvl w:ilvl="0">
        <w:start w:val="4"/>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startOverride w:val="4"/>
    </w:lvlOverride>
    <w:lvlOverride w:ilvl="0"/>
    <w:lvlOverride w:ilvl="1">
      <w:lvl w:ilvl="1">
        <w:start w:val="1"/>
        <w:numFmt w:val="decimal"/>
        <w:lvlText w:val="%1.%2."/>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540"/>
          </w:tabs>
          <w:ind w:left="540" w:hanging="474"/>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 w:numId="35">
    <w:abstractNumId w:val="1"/>
    <w:lvlOverride w:ilvl="0">
      <w:lvl w:ilvl="0">
        <w:start w:val="5"/>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5"/>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6">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37">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38">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39">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0">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1">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2">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3">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4">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5">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6">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7">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8">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49">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0">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1">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2">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3">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4">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5">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6">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7">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8">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59">
    <w:abstractNumId w:val="10"/>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Override>
  </w:num>
  <w:num w:numId="60">
    <w:abstractNumId w:val="3"/>
    <w:lvlOverride w:ilvl="0">
      <w:lvl w:ilvl="0">
        <w:start w:val="6"/>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startOverride w:val="6"/>
    </w:lvlOverride>
    <w:lvlOverride w:ilvl="0"/>
    <w:lvlOverride w:ilvl="1">
      <w:lvl w:ilvl="1">
        <w:start w:val="1"/>
        <w:numFmt w:val="decimal"/>
        <w:lvlText w:val="%1.%2."/>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540"/>
          </w:tabs>
          <w:ind w:left="1866"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 w:numId="61">
    <w:abstractNumId w:val="3"/>
    <w:lvlOverride w:ilvl="0">
      <w:lvl w:ilvl="0">
        <w:start w:val="1"/>
        <w:numFmt w:val="decimal"/>
        <w:lvlText w:val="%1."/>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0"/>
    <w:lvlOverride w:ilvl="1">
      <w:lvl w:ilvl="1">
        <w:start w:val="1"/>
        <w:numFmt w:val="decimal"/>
        <w:lvlText w:val="%1.%2."/>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2382"/>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2382"/>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2382"/>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2382"/>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2382"/>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2382"/>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2382"/>
          </w:tabs>
          <w:ind w:left="1866"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 w:numId="62">
    <w:abstractNumId w:val="3"/>
    <w:lvlOverride w:ilvl="0">
      <w:lvl w:ilvl="0">
        <w:start w:val="8"/>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startOverride w:val="8"/>
    </w:lvlOverride>
    <w:lvlOverride w:ilvl="0"/>
    <w:lvlOverride w:ilvl="1">
      <w:lvl w:ilvl="1">
        <w:start w:val="1"/>
        <w:numFmt w:val="decimal"/>
        <w:lvlText w:val="%1.%2."/>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540"/>
          </w:tabs>
          <w:ind w:left="786"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540"/>
          </w:tabs>
          <w:ind w:left="1146"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540"/>
          </w:tabs>
          <w:ind w:left="1506"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540"/>
          </w:tabs>
          <w:ind w:left="1866"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 w:numId="63">
    <w:abstractNumId w:val="3"/>
    <w:lvlOverride w:ilvl="0">
      <w:lvl w:ilvl="0">
        <w:start w:val="9"/>
        <w:numFmt w:val="decimal"/>
        <w:lvlText w:val="%1."/>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startOverride w:val="9"/>
    </w:lvlOverride>
    <w:lvlOverride w:ilvl="0"/>
    <w:lvlOverride w:ilvl="1">
      <w:lvl w:ilvl="1">
        <w:start w:val="1"/>
        <w:numFmt w:val="decimal"/>
        <w:lvlText w:val="%1.%2."/>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540"/>
          </w:tabs>
          <w:ind w:left="2007"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 w:numId="64">
    <w:abstractNumId w:val="3"/>
    <w:lvlOverride w:ilvl="0">
      <w:lvl w:ilvl="0">
        <w:start w:val="10"/>
        <w:numFmt w:val="decimal"/>
        <w:lvlText w:val="%1."/>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startOverride w:val="10"/>
    </w:lvlOverride>
    <w:lvlOverride w:ilvl="0"/>
    <w:lvlOverride w:ilvl="1">
      <w:lvl w:ilvl="1">
        <w:start w:val="1"/>
        <w:numFmt w:val="decimal"/>
        <w:lvlText w:val="%1.%2."/>
        <w:lvlJc w:val="left"/>
        <w:pPr>
          <w:tabs>
            <w:tab w:val="num" w:pos="540"/>
          </w:tabs>
          <w:ind w:left="567" w:hanging="36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1"/>
    <w:lvlOverride w:ilvl="2">
      <w:lvl w:ilvl="2">
        <w:start w:val="1"/>
        <w:numFmt w:val="decimal"/>
        <w:lvlText w:val="%1.%2.%3."/>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2"/>
    <w:lvlOverride w:ilvl="3">
      <w:lvl w:ilvl="3">
        <w:start w:val="1"/>
        <w:numFmt w:val="decimal"/>
        <w:lvlText w:val="%1.%2.%3.%4."/>
        <w:lvlJc w:val="left"/>
        <w:pPr>
          <w:tabs>
            <w:tab w:val="num" w:pos="540"/>
          </w:tabs>
          <w:ind w:left="927" w:hanging="72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3"/>
    <w:lvlOverride w:ilvl="4">
      <w:lvl w:ilvl="4">
        <w:start w:val="1"/>
        <w:numFmt w:val="decimal"/>
        <w:lvlText w:val="%1.%2.%3.%4.%5."/>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4"/>
    <w:lvlOverride w:ilvl="5">
      <w:lvl w:ilvl="5">
        <w:start w:val="1"/>
        <w:numFmt w:val="decimal"/>
        <w:lvlText w:val="%1.%2.%3.%4.%5.%6."/>
        <w:lvlJc w:val="left"/>
        <w:pPr>
          <w:tabs>
            <w:tab w:val="num" w:pos="540"/>
          </w:tabs>
          <w:ind w:left="1287" w:hanging="108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5"/>
    <w:lvlOverride w:ilvl="6">
      <w:lvl w:ilvl="6">
        <w:start w:val="1"/>
        <w:numFmt w:val="decimal"/>
        <w:lvlText w:val="%1.%2.%3.%4.%5.%6.%7."/>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6"/>
    <w:lvlOverride w:ilvl="7">
      <w:lvl w:ilvl="7">
        <w:start w:val="1"/>
        <w:numFmt w:val="decimal"/>
        <w:lvlText w:val="%1.%2.%3.%4.%5.%6.%7.%8."/>
        <w:lvlJc w:val="left"/>
        <w:pPr>
          <w:tabs>
            <w:tab w:val="num" w:pos="540"/>
          </w:tabs>
          <w:ind w:left="1647" w:hanging="144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lvlOverride w:ilvl="7"/>
    <w:lvlOverride w:ilvl="8">
      <w:lvl w:ilvl="8">
        <w:start w:val="1"/>
        <w:numFmt w:val="decimal"/>
        <w:lvlText w:val="%1.%2.%3.%4.%5.%6.%7.%8.%9."/>
        <w:lvlJc w:val="left"/>
        <w:pPr>
          <w:tabs>
            <w:tab w:val="num" w:pos="540"/>
          </w:tabs>
          <w:ind w:left="2007" w:hanging="1800"/>
        </w:pPr>
        <w:rPr>
          <w:smallCaps w:val="false"/>
          <w:caps w:val="false"/>
          <w:outline w:val="false"/>
          <w:dstrike w:val="false"/>
          <w:strike w:val="false"/>
          <w:vertAlign w:val="baseline"/>
          <w:position w:val="0"/>
          <w:sz w:val="20"/>
          <w:spacing w:val="0"/>
          <w:b/>
          <w:kern w:val="0"/>
          <w:bCs/>
          <w:w w:val="100"/>
          <w:emboss w:val="false"/>
          <w:imprint w:val="false"/>
          <w:color w:val="000000"/>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Default">
    <w:name w:val="Default"/>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numbering" w:styleId="Stileimportato9">
    <w:name w:val="Stile importato 9"/>
    <w:qFormat/>
  </w:style>
  <w:style w:type="numbering" w:styleId="Stileimportato11">
    <w:name w:val="Stile importato 11"/>
    <w:qFormat/>
  </w:style>
  <w:style w:type="numbering" w:styleId="Stileimportato12">
    <w:name w:val="Stile importato 12"/>
    <w:qFormat/>
  </w:style>
  <w:style w:type="numbering" w:styleId="Stileimportato13">
    <w:name w:val="Stile importato 13"/>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numbering" w:styleId="Stileimportato18">
    <w:name w:val="Stile importato 18"/>
    <w:qFormat/>
  </w:style>
  <w:style w:type="numbering" w:styleId="Stileimportato19">
    <w:name w:val="Stile importato 19"/>
    <w:qFormat/>
  </w:style>
  <w:style w:type="numbering" w:styleId="Stileimportato20">
    <w:name w:val="Stile importato 20"/>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14</Pages>
  <Words>3682</Words>
  <Characters>23354</Characters>
  <CharactersWithSpaces>26700</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2023-11-06T12:43:18Z</dcterms:modified>
  <cp:revision>1</cp:revision>
  <dc:subject/>
  <dc:title/>
</cp:coreProperties>
</file>