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000"/>
        <w:gridCol w:w="5971"/>
      </w:tblGrid>
      <w:tr>
        <w:trPr>
          <w:trHeight w:val="31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1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216" w:type="dxa"/>
        <w:tblLayout w:type="fixed"/>
        <w:tblCellMar>
          <w:top w:w="80" w:type="dxa"/>
          <w:left w:w="80" w:type="dxa"/>
          <w:bottom w:w="80" w:type="dxa"/>
          <w:right w:w="80" w:type="dxa"/>
        </w:tblCellMar>
      </w:tblPr>
      <w:tblGrid>
        <w:gridCol w:w="3705"/>
        <w:gridCol w:w="2715"/>
        <w:gridCol w:w="3207"/>
      </w:tblGrid>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5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1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216"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29"/>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 xml:space="preserve">Risultati di apprendimento comuni a tutti gli indirizzi </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b/>
          <w:b/>
          <w:bCs/>
        </w:rPr>
      </w:pPr>
      <w:r>
        <w:rPr>
          <w:rStyle w:val="Markedcontent"/>
          <w:b/>
          <w:bCs/>
          <w:lang w:val="it-IT"/>
        </w:rPr>
        <w:t xml:space="preserve">b) </w:t>
        <w:tab/>
        <w:t xml:space="preserve">Risultati di apprendimento dei percorsi del settore economico </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la realtà e i fatti concreti della vita quotidiana ed elaborare generalizzazioni che aiutino a spiegare i comportamenti individuali e collettivi in chiave economica;</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la varietà e lo sviluppo storico delle forme economiche, sociali e istituzionali attraverso le categorie di sintesi fornite dall’economia e dal diritto;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l’interdipendenza tra fenomeni economici, sociali, istituzionali, culturali e la loro dimensione locale/globale;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con l’ausilio di strumenti matematici e informatici, i fenomeni economici e sociali;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orientarsi nella normativa pubblicistica, civilistica e fiscale;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intervenire</w:t>
      </w:r>
      <w:r>
        <w:rPr>
          <w:rStyle w:val="Markedcontent"/>
          <w:b/>
          <w:bCs/>
          <w:color w:val="000000"/>
          <w:u w:val="none" w:color="000000"/>
          <w:lang w:val="it-IT"/>
        </w:rPr>
        <w:t xml:space="preserve"> </w:t>
      </w:r>
      <w:r>
        <w:rPr>
          <w:rStyle w:val="Markedcontent"/>
          <w:color w:val="000000"/>
          <w:u w:val="none" w:color="000000"/>
          <w:lang w:val="it-IT"/>
        </w:rPr>
        <w:t>nei sistemi aziendali con riferimento a previsione, organizzazione, conduzione e controllo di gestione;</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di marketing in differenti casi e contesti;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distinguere e valutare i prodotti e i servizi aziendali, effettuando calcoli di convenienza per individuare soluzioni ottimali;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w:t>
      </w:r>
      <w:r>
        <w:rPr>
          <w:rStyle w:val="Markedcontent"/>
          <w:b/>
          <w:bCs/>
          <w:color w:val="000000"/>
          <w:u w:val="none" w:color="000000"/>
          <w:lang w:val="it-IT"/>
        </w:rPr>
        <w:t xml:space="preserve"> </w:t>
      </w:r>
      <w:r>
        <w:rPr>
          <w:rStyle w:val="Markedcontent"/>
          <w:color w:val="000000"/>
          <w:u w:val="none" w:color="000000"/>
          <w:lang w:val="it-IT"/>
        </w:rPr>
        <w:t>nel sistema informativo dell’azienda e contribuire sia alla sua innovazione sia al suo adeguamento organizzativo e tecnologico;</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elaborare, interpretare e rappresentare efficacemente dati aziendali con il ricorso a strumenti informatici e software gestionali;</w:t>
      </w:r>
    </w:p>
    <w:p>
      <w:pPr>
        <w:pStyle w:val="Normal"/>
        <w:numPr>
          <w:ilvl w:val="0"/>
          <w:numId w:val="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i problemi scientifici, etici, giuridici e sociali connessi agli strumenti culturali acquisiti.</w:t>
      </w:r>
    </w:p>
    <w:p>
      <w:pPr>
        <w:pStyle w:val="Normal"/>
        <w:ind w:left="720" w:right="0" w:hanging="0"/>
        <w:jc w:val="both"/>
        <w:rPr>
          <w:rStyle w:val="Markedcontent"/>
          <w:color w:val="000000"/>
          <w:u w:val="none" w:color="000000"/>
        </w:rPr>
      </w:pPr>
      <w:r>
        <w:rPr>
          <w:color w:val="000000"/>
          <w:u w:val="none" w:color="000000"/>
        </w:rPr>
      </w:r>
    </w:p>
    <w:p>
      <w:pPr>
        <w:pStyle w:val="Normal"/>
        <w:jc w:val="both"/>
        <w:rPr>
          <w:b/>
          <w:b/>
          <w:bCs/>
        </w:rPr>
      </w:pPr>
      <w:r>
        <w:rPr>
          <w:b/>
          <w:bCs/>
        </w:rPr>
      </w:r>
    </w:p>
    <w:p>
      <w:pPr>
        <w:pStyle w:val="ListParagraph"/>
        <w:numPr>
          <w:ilvl w:val="0"/>
          <w:numId w:val="30"/>
        </w:numPr>
        <w:bidi w:val="0"/>
        <w:ind w:left="567" w:right="0" w:hanging="360"/>
        <w:jc w:val="both"/>
        <w:rPr>
          <w:rStyle w:val="Markedcontent"/>
          <w:b/>
          <w:b/>
          <w:bCs/>
          <w:lang w:val="it-IT"/>
        </w:rPr>
      </w:pPr>
      <w:r>
        <w:rPr>
          <w:rStyle w:val="Markedcontent"/>
          <w:b/>
          <w:bCs/>
          <w:lang w:val="it-IT"/>
        </w:rPr>
        <w:t>Competenze specifiche indirizzo TURISMO</w:t>
      </w:r>
    </w:p>
    <w:p>
      <w:pPr>
        <w:pStyle w:val="Normal"/>
        <w:numPr>
          <w:ilvl w:val="0"/>
          <w:numId w:val="7"/>
        </w:numPr>
        <w:ind w:left="720" w:right="0" w:hanging="360"/>
        <w:jc w:val="both"/>
        <w:rPr>
          <w:lang w:val="it-IT"/>
        </w:rPr>
      </w:pPr>
      <w:r>
        <w:rPr>
          <w:lang w:val="it-IT"/>
        </w:rPr>
        <w:t>Riconoscere e interpretare:</w:t>
      </w:r>
    </w:p>
    <w:p>
      <w:pPr>
        <w:pStyle w:val="Normal"/>
        <w:numPr>
          <w:ilvl w:val="1"/>
          <w:numId w:val="8"/>
        </w:numPr>
        <w:spacing w:before="0" w:after="0"/>
        <w:ind w:left="1440" w:right="0" w:hanging="360"/>
        <w:jc w:val="both"/>
        <w:rPr>
          <w:lang w:val="it-IT"/>
        </w:rPr>
      </w:pPr>
      <w:r>
        <w:rPr>
          <w:lang w:val="it-IT"/>
        </w:rPr>
        <w:t>le tendenze dei mercati locali, nazionali, globali anche per coglierne le ripercussioni nel contesto turistico,</w:t>
      </w:r>
    </w:p>
    <w:p>
      <w:pPr>
        <w:pStyle w:val="Normal"/>
        <w:numPr>
          <w:ilvl w:val="1"/>
          <w:numId w:val="8"/>
        </w:numPr>
        <w:spacing w:before="0" w:after="0"/>
        <w:ind w:left="1440" w:right="0" w:hanging="360"/>
        <w:jc w:val="both"/>
        <w:rPr>
          <w:lang w:val="it-IT"/>
        </w:rPr>
      </w:pPr>
      <w:r>
        <w:rPr>
          <w:lang w:val="it-IT"/>
        </w:rPr>
        <w:t>i macrofenomeni socio-economici globali in termini generali e specifici dell’impresa turistica,</w:t>
      </w:r>
    </w:p>
    <w:p>
      <w:pPr>
        <w:pStyle w:val="Normal"/>
        <w:numPr>
          <w:ilvl w:val="1"/>
          <w:numId w:val="8"/>
        </w:numPr>
        <w:spacing w:before="0" w:after="0"/>
        <w:ind w:left="1440" w:right="0" w:hanging="360"/>
        <w:jc w:val="both"/>
        <w:rPr>
          <w:lang w:val="it-IT"/>
        </w:rPr>
      </w:pPr>
      <w:r>
        <w:rPr>
          <w:lang w:val="it-IT"/>
        </w:rPr>
        <w:t>i cambiamenti dei sistemi economici nella dimensione diacronica attraverso il confronto tra epoche e nella dimensione sincronica attraverso il confronto tra aree geografiche e culturali diverse.</w:t>
      </w:r>
    </w:p>
    <w:p>
      <w:pPr>
        <w:pStyle w:val="Normal"/>
        <w:numPr>
          <w:ilvl w:val="0"/>
          <w:numId w:val="31"/>
        </w:numPr>
        <w:ind w:left="720" w:right="0" w:hanging="360"/>
        <w:jc w:val="both"/>
        <w:rPr>
          <w:lang w:val="it-IT"/>
        </w:rPr>
      </w:pPr>
      <w:r>
        <w:rPr>
          <w:lang w:val="it-IT"/>
        </w:rPr>
        <w:t>Individuare e accedere alla normativa pubblicistica, civilistica, fiscale con particolare riferimento a quella del settore turistico.</w:t>
      </w:r>
    </w:p>
    <w:p>
      <w:pPr>
        <w:pStyle w:val="Normal"/>
        <w:numPr>
          <w:ilvl w:val="0"/>
          <w:numId w:val="7"/>
        </w:numPr>
        <w:spacing w:before="0" w:after="0"/>
        <w:ind w:left="720" w:right="0" w:hanging="360"/>
        <w:jc w:val="both"/>
        <w:rPr>
          <w:lang w:val="it-IT"/>
        </w:rPr>
      </w:pPr>
      <w:r>
        <w:rPr>
          <w:lang w:val="it-IT"/>
        </w:rPr>
        <w:t>Interpretare i sistemi aziendali nei loro modelli, processi di gestione e flussi informativi.</w:t>
      </w:r>
    </w:p>
    <w:p>
      <w:pPr>
        <w:pStyle w:val="Normal"/>
        <w:numPr>
          <w:ilvl w:val="0"/>
          <w:numId w:val="7"/>
        </w:numPr>
        <w:spacing w:before="0" w:after="0"/>
        <w:ind w:left="720" w:right="0" w:hanging="360"/>
        <w:jc w:val="both"/>
        <w:rPr>
          <w:lang w:val="it-IT"/>
        </w:rPr>
      </w:pPr>
      <w:r>
        <w:rPr>
          <w:lang w:val="it-IT"/>
        </w:rPr>
        <w:t>Riconoscere le peculiarità organizzative delle imprese turistiche e contribuire a cercare soluzioni funzionali alle diverse tipologie.</w:t>
      </w:r>
    </w:p>
    <w:p>
      <w:pPr>
        <w:pStyle w:val="Normal"/>
        <w:numPr>
          <w:ilvl w:val="0"/>
          <w:numId w:val="7"/>
        </w:numPr>
        <w:spacing w:before="0" w:after="0"/>
        <w:ind w:left="720" w:right="0" w:hanging="360"/>
        <w:jc w:val="both"/>
        <w:rPr>
          <w:lang w:val="it-IT"/>
        </w:rPr>
      </w:pPr>
      <w:r>
        <w:rPr>
          <w:lang w:val="it-IT"/>
        </w:rPr>
        <w:t>Gestire il sistema delle rilevazioni aziendali con l’ausilio di programmi di contabilità integrata specifici per le aziende del settore Turistico.</w:t>
      </w:r>
    </w:p>
    <w:p>
      <w:pPr>
        <w:pStyle w:val="Normal"/>
        <w:numPr>
          <w:ilvl w:val="0"/>
          <w:numId w:val="7"/>
        </w:numPr>
        <w:spacing w:before="0" w:after="0"/>
        <w:ind w:left="720" w:right="0" w:hanging="360"/>
        <w:jc w:val="both"/>
        <w:rPr>
          <w:lang w:val="it-IT"/>
        </w:rPr>
      </w:pPr>
      <w:r>
        <w:rPr>
          <w:lang w:val="it-IT"/>
        </w:rPr>
        <w:t>Analizzare l’immagine del territorio sia per riconoscere la specificità del suo patrimonio culturale sia per individuare strategie di sviluppo del turismo integrato e sostenibile.</w:t>
      </w:r>
    </w:p>
    <w:p>
      <w:pPr>
        <w:pStyle w:val="Normal"/>
        <w:numPr>
          <w:ilvl w:val="0"/>
          <w:numId w:val="7"/>
        </w:numPr>
        <w:spacing w:before="0" w:after="0"/>
        <w:ind w:left="720" w:right="0" w:hanging="360"/>
        <w:jc w:val="both"/>
        <w:rPr>
          <w:lang w:val="it-IT"/>
        </w:rPr>
      </w:pPr>
      <w:r>
        <w:rPr>
          <w:lang w:val="it-IT"/>
        </w:rPr>
        <w:t>Contribuire a realizzare piani di marketing con riferimento a specifiche tipologie di imprese o prodotti turistici.</w:t>
      </w:r>
    </w:p>
    <w:p>
      <w:pPr>
        <w:pStyle w:val="Normal"/>
        <w:numPr>
          <w:ilvl w:val="0"/>
          <w:numId w:val="7"/>
        </w:numPr>
        <w:spacing w:before="0" w:after="0"/>
        <w:ind w:left="720" w:right="0" w:hanging="360"/>
        <w:jc w:val="both"/>
        <w:rPr>
          <w:lang w:val="it-IT"/>
        </w:rPr>
      </w:pPr>
      <w:r>
        <w:rPr>
          <w:lang w:val="it-IT"/>
        </w:rPr>
        <w:t>Progettare, documentare e presentare servizi o prodotti turistici.</w:t>
      </w:r>
    </w:p>
    <w:p>
      <w:pPr>
        <w:pStyle w:val="Normal"/>
        <w:numPr>
          <w:ilvl w:val="0"/>
          <w:numId w:val="7"/>
        </w:numPr>
        <w:spacing w:before="0" w:after="0"/>
        <w:ind w:left="720" w:right="0" w:hanging="360"/>
        <w:jc w:val="both"/>
        <w:rPr>
          <w:lang w:val="it-IT"/>
        </w:rPr>
      </w:pPr>
      <w:r>
        <w:rPr>
          <w:lang w:val="it-IT"/>
        </w:rPr>
        <w:t>Individuare le caratteristiche del mercato del lavoro e collaborare alla gestione del personale dell’impresa turistica.</w:t>
      </w:r>
    </w:p>
    <w:p>
      <w:pPr>
        <w:pStyle w:val="Normal"/>
        <w:numPr>
          <w:ilvl w:val="0"/>
          <w:numId w:val="7"/>
        </w:numPr>
        <w:spacing w:before="0" w:after="0"/>
        <w:ind w:left="720" w:right="0" w:hanging="360"/>
        <w:jc w:val="both"/>
        <w:rPr>
          <w:lang w:val="it-IT"/>
        </w:rPr>
      </w:pPr>
      <w:r>
        <w:rPr>
          <w:lang w:val="it-IT"/>
        </w:rPr>
        <w:t>Utilizzare il sistema delle comunicazioni e delle relazioni delle imprese turistiche.</w:t>
      </w:r>
    </w:p>
    <w:p>
      <w:pPr>
        <w:pStyle w:val="Normal"/>
        <w:jc w:val="both"/>
        <w:rPr>
          <w:b/>
          <w:b/>
          <w:bCs/>
        </w:rPr>
      </w:pPr>
      <w:r>
        <w:rPr>
          <w:b/>
          <w:bCs/>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1947"/>
        <w:gridCol w:w="8014"/>
      </w:tblGrid>
      <w:tr>
        <w:trPr>
          <w:trHeight w:val="41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8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1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4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2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216" w:type="dxa"/>
        <w:tblLayout w:type="fixed"/>
        <w:tblCellMar>
          <w:top w:w="80" w:type="dxa"/>
          <w:left w:w="80" w:type="dxa"/>
          <w:bottom w:w="80" w:type="dxa"/>
          <w:right w:w="81" w:type="dxa"/>
        </w:tblCellMar>
      </w:tblPr>
      <w:tblGrid>
        <w:gridCol w:w="2468"/>
        <w:gridCol w:w="6945"/>
      </w:tblGrid>
      <w:tr>
        <w:trPr>
          <w:trHeight w:val="31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8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5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4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7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3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3.  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2"/>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2"/>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2"/>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2"/>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2"/>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2"/>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2"/>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3"/>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3"/>
        </w:numPr>
        <w:spacing w:before="0" w:after="0"/>
        <w:ind w:left="720" w:right="0" w:hanging="360"/>
        <w:jc w:val="both"/>
        <w:rPr>
          <w:lang w:val="it-IT"/>
        </w:rPr>
      </w:pPr>
      <w:r>
        <w:rPr>
          <w:lang w:val="it-IT"/>
        </w:rPr>
        <w:t>Promuovere la cultura della progettazione.</w:t>
      </w:r>
    </w:p>
    <w:p>
      <w:pPr>
        <w:pStyle w:val="ListParagraph"/>
        <w:numPr>
          <w:ilvl w:val="0"/>
          <w:numId w:val="13"/>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4"/>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4"/>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4"/>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4"/>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4"/>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4328"/>
        <w:gridCol w:w="5643"/>
      </w:tblGrid>
      <w:tr>
        <w:trPr>
          <w:trHeight w:val="310" w:hRule="atLeast"/>
        </w:trPr>
        <w:tc>
          <w:tcPr>
            <w:tcW w:w="997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1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ListParagraph"/>
        <w:numPr>
          <w:ilvl w:val="0"/>
          <w:numId w:val="32"/>
        </w:numPr>
        <w:bidi w:val="0"/>
        <w:ind w:left="426" w:right="0" w:hanging="360"/>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216" w:type="dxa"/>
        <w:tblLayout w:type="fixed"/>
        <w:tblCellMar>
          <w:top w:w="80" w:type="dxa"/>
          <w:left w:w="80" w:type="dxa"/>
          <w:bottom w:w="80" w:type="dxa"/>
          <w:right w:w="80" w:type="dxa"/>
        </w:tblCellMar>
      </w:tblPr>
      <w:tblGrid>
        <w:gridCol w:w="3320"/>
        <w:gridCol w:w="3321"/>
        <w:gridCol w:w="3321"/>
      </w:tblGrid>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 xml:space="preserve">Tematiche interdisciplinari di approfondimento curricolare </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628" w:type="dxa"/>
        <w:jc w:val="left"/>
        <w:tblInd w:w="216" w:type="dxa"/>
        <w:tblLayout w:type="fixed"/>
        <w:tblCellMar>
          <w:top w:w="80" w:type="dxa"/>
          <w:left w:w="80" w:type="dxa"/>
          <w:bottom w:w="80" w:type="dxa"/>
          <w:right w:w="80" w:type="dxa"/>
        </w:tblCellMar>
      </w:tblPr>
      <w:tblGrid>
        <w:gridCol w:w="2829"/>
        <w:gridCol w:w="3589"/>
        <w:gridCol w:w="3210"/>
      </w:tblGrid>
      <w:tr>
        <w:trPr>
          <w:trHeight w:val="91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Testi, documenti, esperienze, progetti e problemi</w:t>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Nodo concettuale</w:t>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Discipline coinvolte</w:t>
            </w:r>
          </w:p>
        </w:tc>
      </w:tr>
      <w:tr>
        <w:trPr>
          <w:trHeight w:val="31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Spacing"/>
        <w:rPr/>
      </w:pPr>
      <w:r>
        <w:rPr/>
      </w:r>
    </w:p>
    <w:p>
      <w:pPr>
        <w:pStyle w:val="NoSpacing"/>
        <w:rPr/>
      </w:pPr>
      <w:r>
        <w:rPr/>
      </w:r>
    </w:p>
    <w:p>
      <w:pPr>
        <w:pStyle w:val="NoSpacing"/>
        <w:rPr>
          <w:rStyle w:val="Markedcontent"/>
          <w:b/>
          <w:b/>
          <w:bCs/>
          <w:color w:val="000000"/>
          <w:u w:val="none" w:color="000000"/>
        </w:rPr>
      </w:pPr>
      <w:r>
        <w:rPr>
          <w:rStyle w:val="Markedcontent"/>
          <w:rFonts w:eastAsia="Arial Unicode MS" w:cs="Arial Unicode MS"/>
          <w:b/>
          <w:bCs/>
          <w:lang w:val="it-IT"/>
        </w:rPr>
        <w:t>Moduli DNL con metodologia CLIL</w:t>
      </w:r>
    </w:p>
    <w:p>
      <w:pPr>
        <w:pStyle w:val="Normal"/>
        <w:jc w:val="center"/>
        <w:rPr>
          <w:b/>
          <w:b/>
          <w:bCs/>
        </w:rPr>
      </w:pPr>
      <w:r>
        <w:rPr>
          <w:b/>
          <w:bCs/>
        </w:rPr>
      </w:r>
    </w:p>
    <w:p>
      <w:pPr>
        <w:pStyle w:val="Normal"/>
        <w:jc w:val="both"/>
        <w:rPr/>
      </w:pPr>
      <w:r>
        <w:rPr>
          <w:lang w:val="it-IT"/>
        </w:rPr>
        <w:t xml:space="preserve">In ottemperanza alla normativa vigente, relativa agli apprendimenti del quinto anno, gli alunni possono usufruire delle competenze linguistiche in possesso del/dei docente/i di </w:t>
      </w:r>
      <w:r>
        <w:rPr>
          <w:rStyle w:val="Markedcontent"/>
          <w:b/>
          <w:bCs/>
          <w:lang w:val="it-IT"/>
        </w:rPr>
        <w:t>________________</w:t>
      </w:r>
      <w:r>
        <w:rPr>
          <w:lang w:val="it-IT"/>
        </w:rPr>
        <w:t xml:space="preserve"> per acquisire contenuti, conoscenze e competenze relativi a due moduli delle </w:t>
      </w:r>
      <w:r>
        <w:rPr>
          <w:rStyle w:val="Markedcontent"/>
          <w:b/>
          <w:bCs/>
          <w:lang w:val="it-IT"/>
        </w:rPr>
        <w:t xml:space="preserve">discipline non linguistiche (DNL) </w:t>
      </w:r>
      <w:r>
        <w:rPr>
          <w:lang w:val="it-IT"/>
        </w:rPr>
        <w:t>nelle lingue straniere previste dalle Linee Guida.</w:t>
      </w:r>
    </w:p>
    <w:p>
      <w:pPr>
        <w:pStyle w:val="Normal"/>
        <w:jc w:val="both"/>
        <w:rPr>
          <w:rStyle w:val="Markedcontent"/>
          <w:color w:val="000000"/>
          <w:u w:val="none" w:color="000000"/>
        </w:rPr>
      </w:pPr>
      <w:r>
        <w:rPr>
          <w:color w:val="000000"/>
          <w:u w:val="none" w:color="000000"/>
        </w:rPr>
      </w:r>
    </w:p>
    <w:tbl>
      <w:tblPr>
        <w:tblW w:w="9972" w:type="dxa"/>
        <w:jc w:val="left"/>
        <w:tblInd w:w="216" w:type="dxa"/>
        <w:tblLayout w:type="fixed"/>
        <w:tblCellMar>
          <w:top w:w="80" w:type="dxa"/>
          <w:left w:w="80" w:type="dxa"/>
          <w:bottom w:w="80" w:type="dxa"/>
          <w:right w:w="80" w:type="dxa"/>
        </w:tblCellMar>
      </w:tblPr>
      <w:tblGrid>
        <w:gridCol w:w="2020"/>
        <w:gridCol w:w="1844"/>
        <w:gridCol w:w="2382"/>
        <w:gridCol w:w="1841"/>
        <w:gridCol w:w="1885"/>
      </w:tblGrid>
      <w:tr>
        <w:trPr>
          <w:trHeight w:val="610"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Titolo del percorso</w:t>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Lingua</w:t>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Numero ore</w:t>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 xml:space="preserve">Competenze </w:t>
            </w:r>
          </w:p>
        </w:tc>
      </w:tr>
      <w:tr>
        <w:trPr>
          <w:trHeight w:val="63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3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jc w:val="both"/>
        <w:rPr>
          <w:rStyle w:val="Markedcontent"/>
          <w:color w:val="000000"/>
          <w:u w:val="none" w:color="000000"/>
        </w:rPr>
      </w:pPr>
      <w:r>
        <w:rPr>
          <w:color w:val="000000"/>
          <w:u w:val="none" w:color="000000"/>
        </w:rPr>
      </w:r>
    </w:p>
    <w:p>
      <w:pPr>
        <w:pStyle w:val="Normal"/>
        <w:jc w:val="both"/>
        <w:rPr/>
      </w:pPr>
      <w:r>
        <w:rPr/>
      </w:r>
    </w:p>
    <w:p>
      <w:pPr>
        <w:pStyle w:val="NoSpacing"/>
        <w:rPr/>
      </w:pPr>
      <w:r>
        <w:rPr/>
      </w:r>
    </w:p>
    <w:p>
      <w:pPr>
        <w:pStyle w:val="Normal"/>
        <w:tabs>
          <w:tab w:val="clear" w:pos="720"/>
          <w:tab w:val="left" w:pos="540" w:leader="none"/>
        </w:tabs>
        <w:ind w:left="540" w:right="0" w:hanging="540"/>
        <w:jc w:val="both"/>
        <w:rPr>
          <w:rStyle w:val="Markedcontent"/>
          <w:b/>
          <w:b/>
          <w:bCs/>
        </w:rPr>
      </w:pPr>
      <w:bookmarkStart w:id="2" w:name="_gjdgxs1"/>
      <w:r>
        <w:rPr>
          <w:rStyle w:val="Markedcontent"/>
          <w:b/>
          <w:bCs/>
          <w:lang w:val="it-IT"/>
        </w:rPr>
        <w:t xml:space="preserve">METODOLOGIE E STRATEGIE DIDATTICHE </w:t>
      </w:r>
    </w:p>
    <w:p>
      <w:pPr>
        <w:pStyle w:val="Normal"/>
        <w:tabs>
          <w:tab w:val="clear" w:pos="720"/>
          <w:tab w:val="left" w:pos="540" w:leader="none"/>
        </w:tabs>
        <w:ind w:left="540" w:right="0" w:hanging="540"/>
        <w:jc w:val="both"/>
        <w:rPr>
          <w:b/>
          <w:b/>
          <w:bCs/>
        </w:rPr>
      </w:pPr>
      <w:r>
        <w:rPr>
          <w:b/>
          <w:bCs/>
        </w:rPr>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6"/>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6"/>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6"/>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6"/>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6"/>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End w:id="3"/>
    </w:p>
    <w:p>
      <w:pPr>
        <w:pStyle w:val="Normal"/>
        <w:ind w:left="0" w:right="3" w:hanging="0"/>
        <w:jc w:val="both"/>
        <w:rPr>
          <w:rStyle w:val="Markedcontent"/>
          <w:color w:val="000000"/>
          <w:u w:val="none" w:color="000000"/>
        </w:rPr>
      </w:pPr>
      <w:r>
        <w:rPr>
          <w:color w:val="000000"/>
          <w:u w:val="none" w:color="000000"/>
        </w:rPr>
      </w:r>
    </w:p>
    <w:p>
      <w:pPr>
        <w:pStyle w:val="Normal"/>
        <w:ind w:left="0" w:right="3" w:hanging="0"/>
        <w:jc w:val="both"/>
        <w:rPr>
          <w:rStyle w:val="Markedcontent"/>
          <w:color w:val="000000"/>
          <w:u w:val="none" w:color="000000"/>
        </w:rPr>
      </w:pPr>
      <w:r>
        <w:rPr>
          <w:color w:val="000000"/>
          <w:u w:val="none" w:color="000000"/>
        </w:rPr>
      </w:r>
    </w:p>
    <w:p>
      <w:pPr>
        <w:pStyle w:val="Normal"/>
        <w:ind w:left="0" w:right="3" w:hanging="0"/>
        <w:jc w:val="both"/>
        <w:rPr>
          <w:rStyle w:val="Markedcontent"/>
          <w:color w:val="000000"/>
          <w:u w:val="none" w:color="000000"/>
        </w:rPr>
      </w:pPr>
      <w:r>
        <w:rPr>
          <w:color w:val="000000"/>
          <w:u w:val="none" w:color="000000"/>
        </w:rPr>
      </w:r>
      <w:bookmarkStart w:id="4" w:name="_gjdgxs2"/>
      <w:bookmarkStart w:id="5" w:name="_gjdgxs2"/>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7"/>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8"/>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8"/>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7"/>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3"/>
        </w:numPr>
        <w:bidi w:val="0"/>
        <w:ind w:left="426" w:right="3" w:hanging="36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4"/>
        </w:numPr>
        <w:bidi w:val="0"/>
        <w:ind w:left="426" w:right="0" w:hanging="36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2"/>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2"/>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2"/>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5"/>
        </w:numPr>
        <w:bidi w:val="0"/>
        <w:ind w:left="426" w:right="0" w:hanging="36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4"/>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36"/>
        </w:numPr>
        <w:bidi w:val="0"/>
        <w:ind w:left="426" w:right="3" w:hanging="36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6"/>
        </w:numPr>
        <w:spacing w:before="0" w:after="0"/>
        <w:ind w:left="797" w:right="312" w:hanging="360"/>
        <w:jc w:val="both"/>
        <w:rPr>
          <w:rStyle w:val="Markedcontent"/>
          <w:color w:val="000000"/>
          <w:u w:val="none" w:color="000000"/>
          <w:lang w:val="it-IT"/>
        </w:rPr>
      </w:pPr>
      <w:bookmarkStart w:id="6" w:name="_gjdgxs2"/>
      <w:r>
        <w:rPr>
          <w:rStyle w:val="Markedcontent"/>
          <w:color w:val="000000"/>
          <w:u w:val="none" w:color="000000"/>
          <w:lang w:val="it-IT"/>
        </w:rPr>
        <w:t xml:space="preserve">Recupero curricolare: Ogni qualvolta sarà necessario, i docenti procederanno all’attivazione del recupero di conoscenze e competenze in orario curricolare. Il recupero avverrà anche attraverso una pausa didattica </w:t>
      </w:r>
      <w:bookmarkStart w:id="7" w:name="_gjdgxs3"/>
      <w:bookmarkEnd w:id="6"/>
      <w:r>
        <w:rPr>
          <w:lang w:val="it-IT"/>
        </w:rPr>
        <w:t>a conclusione del primo quadrimestre</w:t>
      </w:r>
      <w:bookmarkEnd w:id="7"/>
      <w:r>
        <w:rPr>
          <w:rStyle w:val="Markedcontent"/>
          <w:color w:val="000000"/>
          <w:u w:val="none" w:color="000000"/>
          <w:lang w:val="it-IT"/>
        </w:rPr>
        <w:t>.</w:t>
      </w:r>
    </w:p>
    <w:p>
      <w:pPr>
        <w:pStyle w:val="Normal"/>
        <w:numPr>
          <w:ilvl w:val="0"/>
          <w:numId w:val="26"/>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6"/>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ListParagraph"/>
        <w:numPr>
          <w:ilvl w:val="0"/>
          <w:numId w:val="37"/>
        </w:numPr>
        <w:bidi w:val="0"/>
        <w:ind w:left="426" w:right="0" w:hanging="36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216" w:type="dxa"/>
        <w:tblLayout w:type="fixed"/>
        <w:tblCellMar>
          <w:top w:w="80" w:type="dxa"/>
          <w:left w:w="167" w:type="dxa"/>
          <w:bottom w:w="80" w:type="dxa"/>
          <w:right w:w="83" w:type="dxa"/>
        </w:tblCellMar>
      </w:tblPr>
      <w:tblGrid>
        <w:gridCol w:w="5626"/>
        <w:gridCol w:w="3540"/>
      </w:tblGrid>
      <w:tr>
        <w:trPr>
          <w:trHeight w:val="31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4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lang w:val="it-IT"/>
              </w:rPr>
            </w:pPr>
            <w:r>
              <w:rPr>
                <w:lang w:val="it-IT"/>
              </w:rPr>
            </w:r>
          </w:p>
          <w:p>
            <w:pPr>
              <w:pStyle w:val="Normal"/>
              <w:widowControl w:val="false"/>
              <w:spacing w:lineRule="auto" w:line="249" w:before="0" w:after="166"/>
              <w:ind w:left="87" w:right="3" w:hanging="10"/>
              <w:jc w:val="both"/>
              <w:rPr/>
            </w:pPr>
            <w:r>
              <w:rPr/>
            </w:r>
          </w:p>
        </w:tc>
      </w:tr>
    </w:tbl>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216" w:type="dxa"/>
        <w:tblLayout w:type="fixed"/>
        <w:tblCellMar>
          <w:top w:w="80" w:type="dxa"/>
          <w:left w:w="80" w:type="dxa"/>
          <w:bottom w:w="80" w:type="dxa"/>
          <w:right w:w="80" w:type="dxa"/>
        </w:tblCellMar>
      </w:tblPr>
      <w:tblGrid>
        <w:gridCol w:w="4981"/>
        <w:gridCol w:w="4980"/>
      </w:tblGrid>
      <w:tr>
        <w:trPr>
          <w:trHeight w:val="25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1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108" w:right="0" w:hanging="108"/>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Times New Roman">
    <w:charset w:val="01"/>
    <w:family w:val="roman"/>
    <w:pitch w:val="variable"/>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6">
    <w:lvl w:ilvl="0">
      <w:start w:val="1"/>
      <w:numFmt w:val="lowerLetter"/>
      <w:lvlText w:val="%1)"/>
      <w:lvlJc w:val="left"/>
      <w:pPr>
        <w:tabs>
          <w:tab w:val="num" w:pos="0"/>
        </w:tabs>
        <w:ind w:left="567"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28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200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72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44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16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88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60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32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7">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8">
    <w:lvl w:ilvl="0">
      <w:start w:val="1"/>
      <w:numFmt w:val="bullet"/>
      <w:lvlText w:val="-"/>
      <w:lvlJc w:val="left"/>
      <w:pPr>
        <w:tabs>
          <w:tab w:val="num" w:pos="0"/>
        </w:tabs>
        <w:ind w:left="3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
      <w:lvlJc w:val="left"/>
      <w:pPr>
        <w:tabs>
          <w:tab w:val="num" w:pos="0"/>
        </w:tabs>
        <w:ind w:left="14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5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
      <w:lvlJc w:val="left"/>
      <w:pPr>
        <w:tabs>
          <w:tab w:val="num" w:pos="0"/>
        </w:tabs>
        <w:ind w:left="46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7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68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
      <w:lvlJc w:val="left"/>
      <w:pPr>
        <w:tabs>
          <w:tab w:val="num" w:pos="0"/>
        </w:tabs>
        <w:ind w:left="79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90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9">
    <w:lvl w:ilvl="0">
      <w:start w:val="1"/>
      <w:numFmt w:val="decimal"/>
      <w:lvlText w:val="%1."/>
      <w:lvlJc w:val="left"/>
      <w:pPr>
        <w:tabs>
          <w:tab w:val="num" w:pos="0"/>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lowerRoman"/>
      <w:lvlText w:val="%3."/>
      <w:lvlJc w:val="left"/>
      <w:pPr>
        <w:tabs>
          <w:tab w:val="num" w:pos="0"/>
        </w:tabs>
        <w:ind w:left="2160" w:hanging="285"/>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lowerRoman"/>
      <w:lvlText w:val="%6."/>
      <w:lvlJc w:val="left"/>
      <w:pPr>
        <w:tabs>
          <w:tab w:val="num" w:pos="0"/>
        </w:tabs>
        <w:ind w:left="4320" w:hanging="285"/>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lowerRoman"/>
      <w:lvlText w:val="%9."/>
      <w:lvlJc w:val="left"/>
      <w:pPr>
        <w:tabs>
          <w:tab w:val="num" w:pos="0"/>
        </w:tabs>
        <w:ind w:left="6480" w:hanging="285"/>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54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54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54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54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54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54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6">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6"/>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54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54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54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54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54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54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1">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382" w:hanging="15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3">
    <w:lvl w:ilvl="0">
      <w:start w:val="8"/>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54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54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54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54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54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54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5">
    <w:lvl w:ilvl="0">
      <w:start w:val="9"/>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54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54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54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54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54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54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6">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7">
    <w:lvl w:ilvl="0">
      <w:start w:val="10"/>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54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54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54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54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54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54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54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1"/>
    <w:lvlOverride w:ilvl="0">
      <w:lvl w:ilvl="0">
        <w:start w:val="2"/>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0">
    <w:abstractNumId w:val="6"/>
    <w:lvlOverride w:ilvl="0">
      <w:startOverride w:val="3"/>
    </w:lvlOverride>
  </w:num>
  <w:num w:numId="31">
    <w:abstractNumId w:val="7"/>
    <w:lvlOverride w:ilvl="0">
      <w:startOverride w:val="2"/>
    </w:lvlOverride>
  </w:num>
  <w:num w:numId="32">
    <w:abstractNumId w:val="15"/>
    <w:lvlOverride w:ilvl="0">
      <w:startOverride w:val="4"/>
    </w:lvlOverride>
  </w:num>
  <w:num w:numId="33">
    <w:abstractNumId w:val="15"/>
    <w:lvlOverride w:ilvl="0">
      <w:lvl w:ilvl="0">
        <w:start w:val="6"/>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startOverride w:val="6"/>
    </w:lvlOverride>
  </w:num>
  <w:num w:numId="34">
    <w:abstractNumId w:val="15"/>
    <w:lvlOverride w:ilvl="0">
      <w:lvl w:ilvl="0">
        <w:start w:val="1"/>
        <w:numFmt w:val="decimal"/>
        <w:lvlText w:val="%1."/>
        <w:lvlJc w:val="left"/>
        <w:pPr>
          <w:tabs>
            <w:tab w:val="num" w:pos="2382"/>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540"/>
          </w:tabs>
          <w:ind w:left="2382" w:hanging="15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5">
    <w:abstractNumId w:val="15"/>
    <w:lvlOverride w:ilvl="0">
      <w:lvl w:ilvl="0">
        <w:start w:val="8"/>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num>
  <w:num w:numId="36">
    <w:abstractNumId w:val="15"/>
    <w:lvlOverride w:ilvl="0">
      <w:lvl w:ilvl="0">
        <w:start w:val="9"/>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startOverride w:val="9"/>
    </w:lvlOverride>
  </w:num>
  <w:num w:numId="37">
    <w:abstractNumId w:val="15"/>
    <w:lvlOverride w:ilvl="0">
      <w:lvl w:ilvl="0">
        <w:start w:val="10"/>
        <w:numFmt w:val="decimal"/>
        <w:lvlText w:val="%1."/>
        <w:lvlJc w:val="left"/>
        <w:pPr>
          <w:tabs>
            <w:tab w:val="num" w:pos="54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startOverride w:val="10"/>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10">
    <w:name w:val="Stile importato 10"/>
    <w:qFormat/>
  </w:style>
  <w:style w:type="numbering" w:styleId="Stileimportato11">
    <w:name w:val="Stile importato 11"/>
    <w:qFormat/>
  </w:style>
  <w:style w:type="numbering" w:styleId="Stileimportato12">
    <w:name w:val="Stile importato 12"/>
    <w:qFormat/>
  </w:style>
  <w:style w:type="numbering" w:styleId="Stileimportato13">
    <w:name w:val="Stile importato 13"/>
    <w:qFormat/>
  </w:style>
  <w:style w:type="numbering" w:styleId="Stileimportato9">
    <w:name w:val="Stile importato 9"/>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numbering" w:styleId="Stileimportato18">
    <w:name w:val="Stile importato 18"/>
    <w:qFormat/>
  </w:style>
  <w:style w:type="numbering" w:styleId="Stileimportato19">
    <w:name w:val="Stile importato 19"/>
    <w:qFormat/>
  </w:style>
  <w:style w:type="numbering" w:styleId="Stileimportato20">
    <w:name w:val="Stile importato 20"/>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14</Pages>
  <Words>4006</Words>
  <Characters>25300</Characters>
  <CharactersWithSpaces>28914</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2023-11-06T12:42:04Z</dcterms:modified>
  <cp:revision>1</cp:revision>
  <dc:subject/>
  <dc:title/>
</cp:coreProperties>
</file>