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000"/>
        <w:gridCol w:w="5971"/>
      </w:tblGrid>
      <w:tr>
        <w:trPr>
          <w:trHeight w:val="31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216" w:type="dxa"/>
        <w:tblLayout w:type="fixed"/>
        <w:tblCellMar>
          <w:top w:w="80" w:type="dxa"/>
          <w:left w:w="80" w:type="dxa"/>
          <w:bottom w:w="80" w:type="dxa"/>
          <w:right w:w="80" w:type="dxa"/>
        </w:tblCellMar>
      </w:tblPr>
      <w:tblGrid>
        <w:gridCol w:w="3705"/>
        <w:gridCol w:w="2715"/>
        <w:gridCol w:w="3207"/>
      </w:tblGrid>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216"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Spacing"/>
        <w:rPr/>
      </w:pPr>
      <w:r>
        <w:rPr/>
      </w:r>
    </w:p>
    <w:p>
      <w:pPr>
        <w:pStyle w:val="ListParagraph"/>
        <w:numPr>
          <w:ilvl w:val="0"/>
          <w:numId w:val="29"/>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PROFILO EDUCATIVO, CULTURALE E PROFESSIONALE ISTITUTO PROFESSIONALE</w:t>
      </w:r>
    </w:p>
    <w:p>
      <w:pPr>
        <w:pStyle w:val="NoSpacing"/>
        <w:rPr/>
      </w:pPr>
      <w:r>
        <w:rPr>
          <w:rFonts w:eastAsia="Arial Unicode MS" w:cs="Arial Unicode MS"/>
        </w:rPr>
        <w:t xml:space="preserve"> </w:t>
      </w:r>
    </w:p>
    <w:p>
      <w:pPr>
        <w:pStyle w:val="NoSpacing"/>
        <w:numPr>
          <w:ilvl w:val="0"/>
          <w:numId w:val="4"/>
        </w:numPr>
        <w:bidi w:val="0"/>
        <w:ind w:left="420" w:right="0" w:hanging="360"/>
        <w:jc w:val="left"/>
        <w:rPr>
          <w:rStyle w:val="Markedcontent"/>
          <w:b/>
          <w:b/>
          <w:bCs/>
          <w:lang w:val="it-IT"/>
        </w:rPr>
      </w:pPr>
      <w:r>
        <w:rPr>
          <w:rStyle w:val="Markedcontent"/>
          <w:b/>
          <w:bCs/>
          <w:lang w:val="it-IT"/>
        </w:rPr>
        <w:t xml:space="preserve">Risultati di apprendimento per le attività e gli insegnamenti di area generale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agire in riferimento ad un sistema di valori, coerenti con i principi della Costituzione, in base ai quali essere in grado di valutare fatti e orientare i propri comportamenti personali, sociali e professionali;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il patrimonio lessicale ed espressivo della lingua italiana secondo le esigenze comunicative nei vari contesti: sociali, culturali, scientifici, economici, tecnologici e professionali;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gli aspetti geografici, ecologici, territoriali, dell’ambiente naturale ed antropico, le connessioni con le strutture demografiche, economiche, sociali, culturali e le trasformazioni intervenute nel corso del tempo;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stabilire collegamenti tra le tradizioni culturali locali, nazionali ed internazionali, sia in una prospettiva interculturale sia ai fini della mobilità di studio e di lavoro;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 linguaggi settoriali delle lingue straniere previste dai percorsi di studio per interagire in diversi ambiti e contesti di studio e di lavoro;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il valore e le potenzialità dei beni artistici e ambientali;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individuare ed utilizzare le moderne forme di comunicazione visiva, multimediale e digitale, anche con riferimento alle strategie espressive e agli strumenti tecnici della comunicazione in rete;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le reti e gli strumenti informatici per l’accesso al web nelle attività di studio, ricerca e approfondimento;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i principali aspetti comunicativi, culturali e relazionali dell’espressività corporea ed esercitare in modo efficace la pratica sportiva per il benessere individuale e collettivo;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comprendere e utilizzare i principali concetti relativi all’economia, all’organizzazione, allo svolgimento dei processi produttivi e dei servizi;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padroneggiare l’uso di strumenti tecnologici con particolare attenzione alla sicurezza e alla tutela della salute nei luoghi di vita e di lavoro, alla tutela della persona, dell’ambiente e del territorio;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 concetti e i fondamentali strumenti degli assi culturali per comprendere la realtà ed operare in campi applicativi. </w:t>
      </w:r>
    </w:p>
    <w:p>
      <w:pPr>
        <w:pStyle w:val="Normal"/>
        <w:spacing w:lineRule="auto" w:line="259" w:before="0" w:after="160"/>
        <w:ind w:left="77" w:right="0" w:hanging="0"/>
        <w:rPr>
          <w:rStyle w:val="Markedcontent"/>
          <w:color w:val="000000"/>
          <w:u w:val="none" w:color="000000"/>
        </w:rPr>
      </w:pPr>
      <w:r>
        <w:rPr>
          <w:rStyle w:val="Markedcontent"/>
          <w:color w:val="000000"/>
          <w:u w:val="none" w:color="000000"/>
          <w:lang w:val="it-IT"/>
        </w:rPr>
        <w:t xml:space="preserve"> </w:t>
      </w:r>
    </w:p>
    <w:p>
      <w:pPr>
        <w:pStyle w:val="NoSpacing"/>
        <w:numPr>
          <w:ilvl w:val="0"/>
          <w:numId w:val="30"/>
        </w:numPr>
        <w:bidi w:val="0"/>
        <w:ind w:left="420" w:right="0" w:hanging="360"/>
        <w:jc w:val="left"/>
        <w:rPr>
          <w:rStyle w:val="Markedcontent"/>
          <w:b/>
          <w:b/>
          <w:bCs/>
          <w:lang w:val="it-IT"/>
        </w:rPr>
      </w:pPr>
      <w:r>
        <w:rPr>
          <w:rStyle w:val="Markedcontent"/>
          <w:b/>
          <w:bCs/>
          <w:lang w:val="it-IT"/>
        </w:rPr>
        <w:t xml:space="preserve">Competenze specifiche indirizzo Servizi Commerciali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 ricorrenti.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alle attività di pianificazione, programmazione, rendicontazione, rappresentazione e comunicazione dei risultati della gestione, contribuendo alla valutazione dell’impatto economico e finanziario dei processi gestionali.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nell’area della funzione commerciale, alla realizzazione delle azioni di fidelizzazione della clientela, anche tenendo conto delle tendenze artistiche e culturali locali, nazionali e internazionali, contribuendo alla gestione dei rapporti con i fornitori e con i clienti, anche internazionali, secondo principi di sostenibilità economico-sociale legate alle relazioni commerciali.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alla realizzazione di azioni di marketing strategico ed operativo, all’analisi dei mercati, alla valutazione delle campagne informative, pubblicitarie e promozionali del brand aziendale adeguate alla mission e alla policy aziendale, avvalendosi dei linguaggi più innovativi e anche degli aspetti visivi della comunicazione.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Operare in sicurezza nel rispetto delle norme di igiene e di salvaguardia ambientale, prevenendo eventuali situazioni di rischio.</w:t>
      </w:r>
      <w:r>
        <w:rPr>
          <w:rStyle w:val="Markedcontent"/>
          <w:i/>
          <w:iCs/>
          <w:color w:val="000000"/>
          <w:u w:val="none" w:color="000000"/>
          <w:lang w:val="it-IT"/>
        </w:rPr>
        <w:t xml:space="preserve">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alla ricerca di soluzioni finanziarie e assicurative adeguate ed economicamente vantaggiose, tenendo conto delle dinamiche dei mercati di riferimento e dei macro-fenomeni nazionali e internazionali. </w:t>
      </w:r>
    </w:p>
    <w:p>
      <w:pPr>
        <w:pStyle w:val="Normal"/>
        <w:tabs>
          <w:tab w:val="clear" w:pos="720"/>
          <w:tab w:val="left" w:pos="709" w:leader="none"/>
        </w:tabs>
        <w:ind w:left="720" w:right="0" w:hanging="0"/>
        <w:jc w:val="both"/>
        <w:rPr>
          <w:rStyle w:val="Markedcontent"/>
          <w:color w:val="C00000"/>
          <w:u w:val="none" w:color="C00000"/>
        </w:rPr>
      </w:pPr>
      <w:r>
        <w:rPr>
          <w:rStyle w:val="Markedcontent"/>
          <w:color w:val="C00000"/>
          <w:u w:val="none" w:color="C00000"/>
          <w:lang w:val="it-IT"/>
        </w:rPr>
        <w:t>PER LE COMPETENZE SPECIFICHE INTERMEDIE SI VEDA PDF ALLEGATO "SERVIZI COMMERCIALI".</w:t>
      </w:r>
    </w:p>
    <w:p>
      <w:pPr>
        <w:pStyle w:val="Normal"/>
        <w:tabs>
          <w:tab w:val="clear" w:pos="720"/>
          <w:tab w:val="center" w:pos="2242" w:leader="none"/>
        </w:tabs>
        <w:spacing w:lineRule="auto" w:line="261" w:before="0" w:after="148"/>
        <w:rPr>
          <w:rStyle w:val="Markedcontent"/>
          <w:b/>
          <w:b/>
          <w:bCs/>
          <w:color w:val="000000"/>
          <w:u w:val="none" w:color="000000"/>
        </w:rPr>
      </w:pPr>
      <w:r>
        <w:rPr>
          <w:b/>
          <w:bCs/>
          <w:color w:val="000000"/>
          <w:u w:val="none" w:color="000000"/>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8"/>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8"/>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8"/>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8"/>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8"/>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8"/>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8"/>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8"/>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8"/>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8"/>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8"/>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8"/>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8"/>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8"/>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1947"/>
        <w:gridCol w:w="8014"/>
      </w:tblGrid>
      <w:tr>
        <w:trPr>
          <w:trHeight w:val="41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8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4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216" w:type="dxa"/>
        <w:tblLayout w:type="fixed"/>
        <w:tblCellMar>
          <w:top w:w="80" w:type="dxa"/>
          <w:left w:w="80" w:type="dxa"/>
          <w:bottom w:w="80" w:type="dxa"/>
          <w:right w:w="81" w:type="dxa"/>
        </w:tblCellMar>
      </w:tblPr>
      <w:tblGrid>
        <w:gridCol w:w="2468"/>
        <w:gridCol w:w="6945"/>
      </w:tblGrid>
      <w:tr>
        <w:trPr>
          <w:trHeight w:val="31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8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9"/>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9"/>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7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3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spacing w:lineRule="auto" w:line="276" w:before="0" w:after="200"/>
        <w:rPr>
          <w:rStyle w:val="Markedcontent"/>
          <w:color w:val="000000"/>
          <w:u w:val="none" w:color="000000"/>
        </w:rPr>
      </w:pPr>
      <w:r>
        <w:rPr>
          <w:color w:val="000000"/>
          <w:u w:val="none" w:color="000000"/>
        </w:rPr>
      </w:r>
    </w:p>
    <w:p>
      <w:pPr>
        <w:pStyle w:val="ListParagraph"/>
        <w:numPr>
          <w:ilvl w:val="0"/>
          <w:numId w:val="31"/>
        </w:numPr>
        <w:bidi w:val="0"/>
        <w:ind w:left="437" w:right="0" w:hanging="437"/>
        <w:jc w:val="both"/>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1"/>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1"/>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1"/>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1"/>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1"/>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1"/>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1"/>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2"/>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2"/>
        </w:numPr>
        <w:spacing w:before="0" w:after="0"/>
        <w:ind w:left="720" w:right="0" w:hanging="360"/>
        <w:jc w:val="both"/>
        <w:rPr>
          <w:lang w:val="it-IT"/>
        </w:rPr>
      </w:pPr>
      <w:r>
        <w:rPr>
          <w:lang w:val="it-IT"/>
        </w:rPr>
        <w:t>Promuovere la cultura della progettazione.</w:t>
      </w:r>
    </w:p>
    <w:p>
      <w:pPr>
        <w:pStyle w:val="ListParagraph"/>
        <w:numPr>
          <w:ilvl w:val="0"/>
          <w:numId w:val="12"/>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3"/>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3"/>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3"/>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3"/>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3"/>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328"/>
        <w:gridCol w:w="5643"/>
      </w:tblGrid>
      <w:tr>
        <w:trPr>
          <w:trHeight w:val="310" w:hRule="atLeast"/>
        </w:trPr>
        <w:tc>
          <w:tcPr>
            <w:tcW w:w="997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32"/>
        </w:numPr>
        <w:bidi w:val="0"/>
        <w:ind w:left="567" w:right="0" w:hanging="567"/>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3320"/>
        <w:gridCol w:w="3321"/>
        <w:gridCol w:w="3321"/>
      </w:tblGrid>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jc w:val="both"/>
        <w:rPr/>
      </w:pPr>
      <w:r>
        <w:rPr/>
      </w:r>
    </w:p>
    <w:p>
      <w:pPr>
        <w:pStyle w:val="NoSpacing"/>
        <w:rPr/>
      </w:pPr>
      <w:r>
        <w:rPr/>
      </w:r>
    </w:p>
    <w:p>
      <w:pPr>
        <w:pStyle w:val="NoSpacing"/>
        <w:numPr>
          <w:ilvl w:val="0"/>
          <w:numId w:val="33"/>
        </w:numPr>
        <w:bidi w:val="0"/>
        <w:ind w:left="567" w:right="0" w:hanging="540"/>
        <w:jc w:val="left"/>
        <w:rPr>
          <w:rStyle w:val="Markedcontent"/>
          <w:b/>
          <w:b/>
          <w:bCs/>
        </w:rPr>
      </w:pPr>
      <w:bookmarkStart w:id="2" w:name="_gjdgxs1"/>
      <w:r>
        <w:rPr>
          <w:rStyle w:val="Markedcontent"/>
          <w:b/>
          <w:bCs/>
          <w:lang w:val="it-IT"/>
        </w:rPr>
        <w:t xml:space="preserve">METODOLOGIE E STRATEGIE DIDATTICHE </w:t>
      </w:r>
    </w:p>
    <w:p>
      <w:pPr>
        <w:pStyle w:val="Normal"/>
        <w:numPr>
          <w:ilvl w:val="0"/>
          <w:numId w:val="3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3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3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3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38"/>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39"/>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40"/>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41"/>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4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4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4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4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4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4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48"/>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49"/>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50"/>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51"/>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5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53"/>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54"/>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55"/>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5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57"/>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End w:id="3"/>
    </w:p>
    <w:p>
      <w:pPr>
        <w:pStyle w:val="Normal"/>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7"/>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8"/>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8"/>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7"/>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58"/>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59"/>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2"/>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2"/>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2"/>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60"/>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61"/>
        </w:numPr>
        <w:bidi w:val="0"/>
        <w:ind w:left="540"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6"/>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curricolare: Ogni qualvolta sarà necessario, i docenti procederanno all’attivazione del recupero di conoscenze e competenze in orario curricolare. Il recupero avverrà anche attraverso una pausa didattica a conclusione del primo quadrimestre .</w:t>
      </w:r>
    </w:p>
    <w:p>
      <w:pPr>
        <w:pStyle w:val="Normal"/>
        <w:numPr>
          <w:ilvl w:val="0"/>
          <w:numId w:val="26"/>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6"/>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ListParagraph"/>
        <w:numPr>
          <w:ilvl w:val="0"/>
          <w:numId w:val="62"/>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216" w:type="dxa"/>
        <w:tblLayout w:type="fixed"/>
        <w:tblCellMar>
          <w:top w:w="80" w:type="dxa"/>
          <w:left w:w="167" w:type="dxa"/>
          <w:bottom w:w="80" w:type="dxa"/>
          <w:right w:w="83" w:type="dxa"/>
        </w:tblCellMar>
      </w:tblPr>
      <w:tblGrid>
        <w:gridCol w:w="5626"/>
        <w:gridCol w:w="3540"/>
      </w:tblGrid>
      <w:tr>
        <w:trPr>
          <w:trHeight w:val="31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4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lang w:val="it-IT"/>
              </w:rPr>
            </w:pPr>
            <w:r>
              <w:rPr>
                <w:lang w:val="it-IT"/>
              </w:rPr>
            </w:r>
          </w:p>
          <w:p>
            <w:pPr>
              <w:pStyle w:val="Normal"/>
              <w:widowControl w:val="false"/>
              <w:spacing w:lineRule="auto" w:line="249" w:before="0" w:after="166"/>
              <w:ind w:left="87" w:right="3" w:hanging="10"/>
              <w:jc w:val="both"/>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216" w:type="dxa"/>
        <w:tblLayout w:type="fixed"/>
        <w:tblCellMar>
          <w:top w:w="80" w:type="dxa"/>
          <w:left w:w="80" w:type="dxa"/>
          <w:bottom w:w="80" w:type="dxa"/>
          <w:right w:w="80" w:type="dxa"/>
        </w:tblCellMar>
      </w:tblPr>
      <w:tblGrid>
        <w:gridCol w:w="4981"/>
        <w:gridCol w:w="4980"/>
      </w:tblGrid>
      <w:tr>
        <w:trPr>
          <w:trHeight w:val="25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lowerLetter"/>
      <w:lvlText w:val="%1)"/>
      <w:lvlJc w:val="left"/>
      <w:pPr>
        <w:tabs>
          <w:tab w:val="num" w:pos="0"/>
        </w:tabs>
        <w:ind w:left="4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5">
    <w:lvl w:ilvl="0">
      <w:start w:val="1"/>
      <w:numFmt w:val="bullet"/>
      <w:lvlText w:val="•"/>
      <w:lvlJc w:val="left"/>
      <w:pPr>
        <w:tabs>
          <w:tab w:val="num" w:pos="0"/>
        </w:tabs>
        <w:ind w:left="769" w:hanging="346"/>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1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73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45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17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89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1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33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05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6">
    <w:lvl w:ilvl="0">
      <w:start w:val="1"/>
      <w:numFmt w:val="lowerLetter"/>
      <w:lvlText w:val="%1)"/>
      <w:lvlJc w:val="left"/>
      <w:pPr>
        <w:tabs>
          <w:tab w:val="num" w:pos="0"/>
        </w:tabs>
        <w:ind w:left="4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69" w:hanging="346"/>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501" w:hanging="107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2221" w:hanging="179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941" w:hanging="251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661" w:hanging="323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4381" w:hanging="395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5101" w:hanging="467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821" w:hanging="539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541" w:hanging="611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8">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9">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0">
    <w:lvl w:ilvl="0">
      <w:start w:val="3"/>
      <w:numFmt w:val="decimal"/>
      <w:lvlText w:val="%1."/>
      <w:lvlJc w:val="left"/>
      <w:pPr>
        <w:tabs>
          <w:tab w:val="num" w:pos="540"/>
        </w:tabs>
        <w:ind w:left="437" w:hanging="43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25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17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25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25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17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25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25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17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5">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6">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1">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3">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9"/>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824"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544"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264"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2984"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704"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424"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144"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5864"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6">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7">
    <w:lvl w:ilvl="0">
      <w:start w:val="10"/>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1"/>
    <w:lvlOverride w:ilvl="0">
      <w:startOverride w:val="2"/>
    </w:lvlOverride>
  </w:num>
  <w:num w:numId="30">
    <w:abstractNumId w:val="4"/>
    <w:lvlOverride w:ilvl="0">
      <w:startOverride w:val="2"/>
    </w:lvlOverride>
  </w:num>
  <w:num w:numId="31">
    <w:abstractNumId w:val="1"/>
    <w:lvlOverride w:ilvl="0">
      <w:lvl w:ilvl="0">
        <w:start w:val="3"/>
        <w:numFmt w:val="decimal"/>
        <w:lvlText w:val="%1."/>
        <w:lvlJc w:val="left"/>
        <w:pPr>
          <w:tabs>
            <w:tab w:val="num" w:pos="540"/>
          </w:tabs>
          <w:ind w:left="437" w:hanging="437"/>
        </w:pPr>
        <w:rPr>
          <w:smallCaps w:val="false"/>
          <w:caps w:val="false"/>
          <w:outline w:val="false"/>
          <w:dstrike w:val="false"/>
          <w:strike w:val="false"/>
          <w:vertAlign w:val="baseline"/>
          <w:position w:val="0"/>
          <w:sz w:val="20"/>
          <w:spacing w:val="0"/>
          <w:b/>
          <w:kern w:val="0"/>
          <w:bCs/>
          <w:w w:val="100"/>
          <w:emboss w:val="false"/>
          <w:imprint w:val="false"/>
        </w:rPr>
      </w:lvl>
      <w:startOverride w:val="3"/>
    </w:lvlOverride>
    <w:lvlOverride w:ilvl="0"/>
    <w:lvlOverride w:ilvl="1">
      <w:lvl w:ilvl="1">
        <w:start w:val="1"/>
        <w:numFmt w:val="lowerLetter"/>
        <w:lvlText w:val="%2."/>
        <w:lvlJc w:val="left"/>
        <w:pPr>
          <w:tabs>
            <w:tab w:val="num" w:pos="1107"/>
          </w:tabs>
          <w:ind w:left="966" w:hanging="257"/>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179"/>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257"/>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257"/>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179"/>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257"/>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257"/>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179"/>
        </w:pPr>
        <w:rPr>
          <w:smallCaps w:val="false"/>
          <w:caps w:val="false"/>
          <w:outline w:val="false"/>
          <w:dstrike w:val="false"/>
          <w:strike w:val="false"/>
          <w:vertAlign w:val="baseline"/>
          <w:position w:val="0"/>
          <w:sz w:val="20"/>
          <w:spacing w:val="0"/>
          <w:b/>
          <w:kern w:val="0"/>
          <w:bCs/>
          <w:w w:val="100"/>
          <w:emboss w:val="false"/>
          <w:imprint w:val="false"/>
        </w:rPr>
      </w:lvl>
    </w:lvlOverride>
  </w:num>
  <w:num w:numId="32">
    <w:abstractNumId w:val="1"/>
    <w:lvlOverride w:ilvl="0">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lvlOverride>
  </w:num>
  <w:num w:numId="33">
    <w:abstractNumId w:val="1"/>
    <w:lvlOverride w:ilvl="0">
      <w:lvl w:ilvl="0">
        <w:start w:val="5"/>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4">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5">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6">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7">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8">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9">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0">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1">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2">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3">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4">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5">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6">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7">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8">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49">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0">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1">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2">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3">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4">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5">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6">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7">
    <w:abstractNumId w:val="12"/>
    <w:lvlOverride w:ilvl="0">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58">
    <w:abstractNumId w:val="1"/>
    <w:lvlOverride w:ilvl="0">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6"/>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59">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0">
    <w:abstractNumId w:val="1"/>
    <w:lvlOverride w:ilvl="0">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1">
    <w:abstractNumId w:val="1"/>
    <w:lvlOverride w:ilvl="0">
      <w:lvl w:ilvl="0">
        <w:start w:val="9"/>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9"/>
    </w:lvlOverride>
    <w:lvlOverride w:ilvl="0"/>
    <w:lvlOverride w:ilvl="1">
      <w:lvl w:ilvl="1">
        <w:start w:val="1"/>
        <w:numFmt w:val="lowerLetter"/>
        <w:lvlText w:val="%2."/>
        <w:lvlJc w:val="left"/>
        <w:pPr>
          <w:tabs>
            <w:tab w:val="num" w:pos="1107"/>
          </w:tabs>
          <w:ind w:left="82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544"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26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298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704"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42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144"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5864"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62">
    <w:abstractNumId w:val="1"/>
    <w:lvlOverride w:ilvl="0">
      <w:lvl w:ilvl="0">
        <w:start w:val="10"/>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10"/>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8">
    <w:name w:val="Stile importato 8"/>
    <w:qFormat/>
  </w:style>
  <w:style w:type="numbering" w:styleId="Stileimportato9">
    <w:name w:val="Stile importato 9"/>
    <w:qFormat/>
  </w:style>
  <w:style w:type="numbering" w:styleId="Stileimportato10">
    <w:name w:val="Stile importato 10"/>
    <w:qFormat/>
  </w:style>
  <w:style w:type="numbering" w:styleId="Stileimportato12">
    <w:name w:val="Stile importato 12"/>
    <w:qFormat/>
  </w:style>
  <w:style w:type="numbering" w:styleId="Stileimportato13">
    <w:name w:val="Stile importato 13"/>
    <w:qFormat/>
  </w:style>
  <w:style w:type="numbering" w:styleId="Stileimportato14">
    <w:name w:val="Stile importato 14"/>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13</Pages>
  <Words>3576</Words>
  <Characters>22628</Characters>
  <CharactersWithSpaces>25898</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2023-11-06T12:39:42Z</dcterms:modified>
  <cp:revision>1</cp:revision>
  <dc:subject/>
  <dc:title/>
</cp:coreProperties>
</file>